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30AB9" w14:textId="77777777" w:rsidR="008E07BB" w:rsidRPr="00AB4DB2" w:rsidRDefault="008E07BB" w:rsidP="008E07BB">
      <w:pPr>
        <w:jc w:val="center"/>
        <w:rPr>
          <w:b/>
          <w:bCs/>
          <w:smallCaps/>
        </w:rPr>
      </w:pPr>
      <w:bookmarkStart w:id="0" w:name="_GoBack"/>
      <w:bookmarkEnd w:id="0"/>
    </w:p>
    <w:p w14:paraId="1CEF1953" w14:textId="77777777" w:rsidR="008E07BB" w:rsidRPr="00AB4DB2" w:rsidRDefault="008E07BB" w:rsidP="008E07BB">
      <w:pPr>
        <w:keepNext/>
        <w:spacing w:before="120" w:after="120"/>
        <w:jc w:val="center"/>
        <w:rPr>
          <w:b/>
        </w:rPr>
      </w:pPr>
      <w:r w:rsidRPr="00AB4DB2">
        <w:rPr>
          <w:b/>
        </w:rPr>
        <w:t xml:space="preserve">Terms of Reference </w:t>
      </w:r>
    </w:p>
    <w:p w14:paraId="0E17A9EF" w14:textId="1C3CD665" w:rsidR="009B3148" w:rsidRPr="00AB4DB2" w:rsidRDefault="00420103" w:rsidP="008E07BB">
      <w:pPr>
        <w:keepNext/>
        <w:spacing w:before="120" w:after="120"/>
        <w:jc w:val="center"/>
        <w:rPr>
          <w:b/>
        </w:rPr>
      </w:pPr>
      <w:r w:rsidRPr="00AB4DB2">
        <w:rPr>
          <w:b/>
        </w:rPr>
        <w:t>Visibility &amp; Promotion</w:t>
      </w:r>
    </w:p>
    <w:p w14:paraId="4CE2B9CF" w14:textId="4257607B" w:rsidR="008E07BB" w:rsidRPr="00AB4DB2" w:rsidRDefault="008E07BB" w:rsidP="008E07BB">
      <w:pPr>
        <w:keepNext/>
        <w:spacing w:before="120" w:after="120"/>
        <w:jc w:val="center"/>
        <w:rPr>
          <w:b/>
        </w:rPr>
      </w:pPr>
      <w:r w:rsidRPr="00AB4DB2">
        <w:rPr>
          <w:b/>
        </w:rPr>
        <w:t>Donor Trust Fund – Serbia Digitalization for Business Environment</w:t>
      </w:r>
    </w:p>
    <w:p w14:paraId="30FF2AF8" w14:textId="77777777" w:rsidR="008E07BB" w:rsidRPr="00AB4DB2" w:rsidRDefault="008E07BB" w:rsidP="008E07BB">
      <w:pPr>
        <w:keepNext/>
        <w:spacing w:before="120" w:after="120"/>
        <w:jc w:val="center"/>
        <w:rPr>
          <w:b/>
        </w:rPr>
      </w:pPr>
      <w:r w:rsidRPr="00AB4DB2">
        <w:rPr>
          <w:rFonts w:eastAsia="Calibri"/>
          <w:b/>
        </w:rPr>
        <w:t>(P174555)</w:t>
      </w:r>
    </w:p>
    <w:p w14:paraId="48202DBB" w14:textId="77777777" w:rsidR="008E07BB" w:rsidRPr="00AB4DB2" w:rsidRDefault="008E07BB" w:rsidP="008E07BB">
      <w:pPr>
        <w:jc w:val="center"/>
        <w:rPr>
          <w:b/>
          <w:bCs/>
          <w:smallCaps/>
        </w:rPr>
      </w:pPr>
    </w:p>
    <w:p w14:paraId="15873D45" w14:textId="77777777" w:rsidR="008E07BB" w:rsidRPr="00AB4DB2" w:rsidRDefault="008E07BB" w:rsidP="008E07BB">
      <w:pPr>
        <w:jc w:val="center"/>
        <w:rPr>
          <w:b/>
          <w:bCs/>
          <w:smallCaps/>
        </w:rPr>
      </w:pPr>
    </w:p>
    <w:p w14:paraId="00464DD9" w14:textId="77777777" w:rsidR="008E07BB" w:rsidRPr="00AB4DB2" w:rsidRDefault="008E07BB" w:rsidP="008E07BB">
      <w:pPr>
        <w:tabs>
          <w:tab w:val="left" w:pos="810"/>
        </w:tabs>
        <w:spacing w:before="120" w:after="120"/>
        <w:jc w:val="both"/>
        <w:rPr>
          <w:rFonts w:eastAsia="Calibri"/>
        </w:rPr>
      </w:pPr>
      <w:r w:rsidRPr="00AB4DB2">
        <w:rPr>
          <w:b/>
        </w:rPr>
        <w:t>Background</w:t>
      </w:r>
    </w:p>
    <w:p w14:paraId="24251FC7" w14:textId="77777777" w:rsidR="008E07BB" w:rsidRPr="00AB4DB2" w:rsidRDefault="008E07BB" w:rsidP="008E07BB">
      <w:pPr>
        <w:tabs>
          <w:tab w:val="left" w:pos="810"/>
        </w:tabs>
        <w:jc w:val="both"/>
        <w:rPr>
          <w:rFonts w:eastAsia="Calibri"/>
        </w:rPr>
      </w:pPr>
      <w:r w:rsidRPr="00AB4DB2">
        <w:rPr>
          <w:rFonts w:eastAsia="Calibri"/>
        </w:rPr>
        <w:t xml:space="preserve">International Bank for Reconstruction and Development (hereinafter: the World Bank), acting as administrator of the European Commission, on behalf of the European Union for the EC – World Bank Partnership </w:t>
      </w:r>
      <w:proofErr w:type="spellStart"/>
      <w:r w:rsidRPr="00AB4DB2">
        <w:rPr>
          <w:rFonts w:eastAsia="Calibri"/>
        </w:rPr>
        <w:t>Programme</w:t>
      </w:r>
      <w:proofErr w:type="spellEnd"/>
      <w:r w:rsidRPr="00AB4DB2">
        <w:rPr>
          <w:rFonts w:eastAsia="Calibri"/>
        </w:rPr>
        <w:t xml:space="preserve"> Part III for Europe and Central Asia Programmatic Single-Donor Trust Fund – Serbia Digitalization for Business Environment, extended a grant (hereinafter: Grant) to the Republic of Serbia to assist in the financing of the project “Serbia Digitalization for Business Environment” (hereinafter: Project).</w:t>
      </w:r>
    </w:p>
    <w:p w14:paraId="3F40D3A3" w14:textId="77777777" w:rsidR="008E07BB" w:rsidRPr="00AB4DB2" w:rsidRDefault="008E07BB" w:rsidP="008E07BB">
      <w:pPr>
        <w:tabs>
          <w:tab w:val="left" w:pos="810"/>
        </w:tabs>
        <w:jc w:val="both"/>
        <w:rPr>
          <w:rFonts w:eastAsia="Calibri"/>
        </w:rPr>
      </w:pPr>
    </w:p>
    <w:p w14:paraId="3503DAE0" w14:textId="77777777" w:rsidR="008E07BB" w:rsidRPr="00AB4DB2" w:rsidRDefault="008E07BB" w:rsidP="008E07BB">
      <w:pPr>
        <w:tabs>
          <w:tab w:val="left" w:pos="810"/>
        </w:tabs>
        <w:jc w:val="both"/>
        <w:rPr>
          <w:rFonts w:eastAsia="Calibri"/>
        </w:rPr>
      </w:pPr>
      <w:r w:rsidRPr="00AB4DB2">
        <w:rPr>
          <w:rFonts w:eastAsia="Calibri"/>
        </w:rPr>
        <w:t xml:space="preserve">Implemented within the framework of the Action </w:t>
      </w:r>
      <w:proofErr w:type="spellStart"/>
      <w:r w:rsidRPr="00AB4DB2">
        <w:rPr>
          <w:rFonts w:eastAsia="Calibri"/>
        </w:rPr>
        <w:t>Programme</w:t>
      </w:r>
      <w:proofErr w:type="spellEnd"/>
      <w:r w:rsidRPr="00AB4DB2">
        <w:rPr>
          <w:rFonts w:eastAsia="Calibri"/>
        </w:rPr>
        <w:t xml:space="preserve"> for the Republic of Serbia, adopted by the European Commission on November 28, 2019 and confirmed by the Financial Agreement with the European Commission, which was signed by the Republic of Serbia on February 6, 2020, the Project refers to the Result 1 of the said Action </w:t>
      </w:r>
      <w:proofErr w:type="spellStart"/>
      <w:r w:rsidRPr="00AB4DB2">
        <w:rPr>
          <w:rFonts w:eastAsia="Calibri"/>
        </w:rPr>
        <w:t>Programme</w:t>
      </w:r>
      <w:proofErr w:type="spellEnd"/>
      <w:r w:rsidRPr="00AB4DB2">
        <w:rPr>
          <w:rFonts w:eastAsia="Calibri"/>
        </w:rPr>
        <w:t>: Improvement of the coordination of reforms in the field of business environment and optimization of the regulatory environment for economic entities. It enables digitization of 20 business episodes and accompanying registers and records, which will in turn create conditions for the Public Policy Secretariat (PPS) of the Government of the Republic of Serbia to further support improvements of the business environment.</w:t>
      </w:r>
    </w:p>
    <w:p w14:paraId="6FF081DD" w14:textId="77777777" w:rsidR="008E07BB" w:rsidRPr="00AB4DB2" w:rsidRDefault="008E07BB" w:rsidP="008E07BB">
      <w:pPr>
        <w:tabs>
          <w:tab w:val="left" w:pos="810"/>
        </w:tabs>
        <w:jc w:val="both"/>
        <w:rPr>
          <w:rFonts w:eastAsia="Calibri"/>
        </w:rPr>
      </w:pPr>
    </w:p>
    <w:p w14:paraId="78B2E7DA" w14:textId="77777777" w:rsidR="008E07BB" w:rsidRPr="00AB4DB2" w:rsidRDefault="008E07BB" w:rsidP="008E07BB">
      <w:pPr>
        <w:tabs>
          <w:tab w:val="left" w:pos="810"/>
        </w:tabs>
        <w:jc w:val="both"/>
        <w:rPr>
          <w:rFonts w:eastAsia="Calibri"/>
        </w:rPr>
      </w:pPr>
      <w:r w:rsidRPr="00AB4DB2">
        <w:rPr>
          <w:rFonts w:eastAsia="Calibri"/>
        </w:rPr>
        <w:t>The Project also entails management and improving the unified Registry of Administrative Procedures (hereinafter: RAP) and its publicly accessible portal. Digitization of administrative procedures would directly contribute to the reduction of the administrative burden to businesses, through savings resources, increased transparency, predictability and stability of business environment.</w:t>
      </w:r>
    </w:p>
    <w:p w14:paraId="02759E0B" w14:textId="77777777" w:rsidR="008E07BB" w:rsidRPr="00AB4DB2" w:rsidRDefault="008E07BB" w:rsidP="008E07BB">
      <w:pPr>
        <w:tabs>
          <w:tab w:val="left" w:pos="810"/>
        </w:tabs>
        <w:jc w:val="both"/>
        <w:rPr>
          <w:rFonts w:eastAsia="Calibri"/>
        </w:rPr>
      </w:pPr>
    </w:p>
    <w:p w14:paraId="753CCB9B" w14:textId="77777777" w:rsidR="008E07BB" w:rsidRPr="00AB4DB2" w:rsidRDefault="008E07BB" w:rsidP="008E07BB">
      <w:pPr>
        <w:tabs>
          <w:tab w:val="left" w:pos="810"/>
        </w:tabs>
        <w:jc w:val="both"/>
        <w:rPr>
          <w:rFonts w:eastAsia="Calibri"/>
        </w:rPr>
      </w:pPr>
      <w:r w:rsidRPr="00AB4DB2">
        <w:rPr>
          <w:rFonts w:eastAsia="Calibri"/>
        </w:rPr>
        <w:t>The objective of the Project is to improve aspects of the business environment through the digitalization of selected government-to-business services in the prioritized sectors.  The Project consists of the following parts:</w:t>
      </w:r>
    </w:p>
    <w:p w14:paraId="385C01AE" w14:textId="77777777" w:rsidR="008E07BB" w:rsidRPr="00AB4DB2" w:rsidRDefault="008E07BB" w:rsidP="008E07BB">
      <w:pPr>
        <w:tabs>
          <w:tab w:val="left" w:pos="810"/>
        </w:tabs>
        <w:jc w:val="both"/>
        <w:rPr>
          <w:rFonts w:eastAsia="Calibri"/>
        </w:rPr>
      </w:pPr>
    </w:p>
    <w:p w14:paraId="3CB9513E" w14:textId="77777777" w:rsidR="008E07BB" w:rsidRPr="00AB4DB2" w:rsidRDefault="008E07BB" w:rsidP="008E07BB">
      <w:pPr>
        <w:tabs>
          <w:tab w:val="left" w:pos="810"/>
        </w:tabs>
        <w:ind w:left="360"/>
        <w:jc w:val="both"/>
        <w:rPr>
          <w:rFonts w:eastAsia="Calibri"/>
        </w:rPr>
      </w:pPr>
      <w:r w:rsidRPr="00AB4DB2">
        <w:rPr>
          <w:rFonts w:eastAsia="Calibri"/>
          <w:bCs/>
          <w:i/>
        </w:rPr>
        <w:t>Part 1</w:t>
      </w:r>
      <w:r w:rsidRPr="00AB4DB2">
        <w:rPr>
          <w:rFonts w:eastAsia="Calibri"/>
          <w:i/>
        </w:rPr>
        <w:t>.</w:t>
      </w:r>
      <w:r w:rsidRPr="00AB4DB2" w:rsidDel="00B049FE">
        <w:rPr>
          <w:rFonts w:eastAsia="Calibri"/>
        </w:rPr>
        <w:t xml:space="preserve"> </w:t>
      </w:r>
      <w:r w:rsidRPr="00AB4DB2">
        <w:rPr>
          <w:rFonts w:eastAsia="Calibri"/>
          <w:b/>
          <w:bCs/>
        </w:rPr>
        <w:t>Upgrading the Registry of Administrative Procedures</w:t>
      </w:r>
      <w:r w:rsidRPr="00AB4DB2">
        <w:rPr>
          <w:rFonts w:eastAsia="Calibri"/>
        </w:rPr>
        <w:t>: Support the upgrading of RAP to enhance its functionality and usability.</w:t>
      </w:r>
    </w:p>
    <w:p w14:paraId="2C6E99FB" w14:textId="77777777" w:rsidR="008E07BB" w:rsidRPr="00AB4DB2" w:rsidRDefault="008E07BB" w:rsidP="008E07BB">
      <w:pPr>
        <w:tabs>
          <w:tab w:val="left" w:pos="810"/>
        </w:tabs>
        <w:ind w:left="360"/>
        <w:jc w:val="both"/>
        <w:rPr>
          <w:rFonts w:eastAsia="Calibri"/>
        </w:rPr>
      </w:pPr>
      <w:r w:rsidRPr="00AB4DB2">
        <w:rPr>
          <w:rFonts w:eastAsia="Calibri"/>
          <w:bCs/>
          <w:i/>
        </w:rPr>
        <w:t>Part 2</w:t>
      </w:r>
      <w:r w:rsidRPr="00AB4DB2">
        <w:rPr>
          <w:rFonts w:eastAsia="Calibri"/>
        </w:rPr>
        <w:t>.</w:t>
      </w:r>
      <w:r w:rsidRPr="00AB4DB2" w:rsidDel="00B049FE">
        <w:rPr>
          <w:rFonts w:eastAsia="Calibri"/>
        </w:rPr>
        <w:t xml:space="preserve"> </w:t>
      </w:r>
      <w:r w:rsidRPr="00AB4DB2">
        <w:rPr>
          <w:rFonts w:eastAsia="Calibri"/>
          <w:b/>
          <w:bCs/>
        </w:rPr>
        <w:t>Identifying potential Business Episodes</w:t>
      </w:r>
      <w:r w:rsidRPr="00AB4DB2">
        <w:rPr>
          <w:rFonts w:eastAsia="Calibri"/>
        </w:rPr>
        <w:t>: Identify at least 20 government-to-business services that have potential to be simplified and digitized under a Business Episode format.</w:t>
      </w:r>
    </w:p>
    <w:p w14:paraId="2A15FF96" w14:textId="77777777" w:rsidR="008E07BB" w:rsidRPr="00AB4DB2" w:rsidRDefault="008E07BB" w:rsidP="008E07BB">
      <w:pPr>
        <w:tabs>
          <w:tab w:val="left" w:pos="810"/>
        </w:tabs>
        <w:ind w:left="360"/>
        <w:jc w:val="both"/>
        <w:rPr>
          <w:rFonts w:eastAsia="Calibri"/>
        </w:rPr>
      </w:pPr>
      <w:r w:rsidRPr="00AB4DB2">
        <w:rPr>
          <w:rFonts w:eastAsia="Calibri"/>
          <w:bCs/>
          <w:i/>
        </w:rPr>
        <w:t>Part 3</w:t>
      </w:r>
      <w:r w:rsidRPr="00AB4DB2">
        <w:rPr>
          <w:rFonts w:eastAsia="Calibri"/>
          <w:i/>
        </w:rPr>
        <w:t>.</w:t>
      </w:r>
      <w:r w:rsidRPr="00AB4DB2" w:rsidDel="00B049FE">
        <w:rPr>
          <w:rFonts w:eastAsia="Calibri"/>
        </w:rPr>
        <w:t xml:space="preserve"> </w:t>
      </w:r>
      <w:r w:rsidRPr="00AB4DB2">
        <w:rPr>
          <w:rFonts w:eastAsia="Calibri"/>
          <w:b/>
        </w:rPr>
        <w:t>Digitization and piloting of Business Episodes</w:t>
      </w:r>
      <w:r w:rsidRPr="00AB4DB2">
        <w:rPr>
          <w:rFonts w:eastAsia="Calibri"/>
        </w:rPr>
        <w:t>: Digitization and piloting of at least 20 government-to-business administrative services, (a) selected by Public Policy Secretariat, in consultation with the Ministry of Economy of the Member Country, (b) in highly relevant sectors, (c) under the Business Episodes format, and (d) through a Member Country government portal (whether RAP or other portals operated by a Member Country government agency).</w:t>
      </w:r>
    </w:p>
    <w:p w14:paraId="28FAE952" w14:textId="77777777" w:rsidR="008E07BB" w:rsidRPr="00AB4DB2" w:rsidRDefault="008E07BB" w:rsidP="008E07BB">
      <w:pPr>
        <w:tabs>
          <w:tab w:val="left" w:pos="810"/>
        </w:tabs>
        <w:ind w:left="360"/>
        <w:jc w:val="both"/>
        <w:rPr>
          <w:rFonts w:eastAsia="Calibri"/>
        </w:rPr>
      </w:pPr>
      <w:r w:rsidRPr="00AB4DB2">
        <w:rPr>
          <w:rFonts w:eastAsia="Calibri"/>
          <w:bCs/>
          <w:i/>
        </w:rPr>
        <w:lastRenderedPageBreak/>
        <w:t>Part 4</w:t>
      </w:r>
      <w:r w:rsidRPr="00AB4DB2">
        <w:rPr>
          <w:rFonts w:eastAsia="Calibri"/>
          <w:b/>
          <w:bCs/>
        </w:rPr>
        <w:t>.</w:t>
      </w:r>
      <w:r w:rsidRPr="00AB4DB2" w:rsidDel="00B049FE">
        <w:rPr>
          <w:rFonts w:eastAsia="Calibri"/>
          <w:b/>
          <w:bCs/>
        </w:rPr>
        <w:t xml:space="preserve"> </w:t>
      </w:r>
      <w:r w:rsidRPr="00AB4DB2">
        <w:rPr>
          <w:rFonts w:eastAsia="Calibri"/>
          <w:b/>
          <w:bCs/>
        </w:rPr>
        <w:t>Enhance Data Registries</w:t>
      </w:r>
      <w:r w:rsidRPr="00AB4DB2">
        <w:rPr>
          <w:rFonts w:eastAsia="Calibri"/>
        </w:rPr>
        <w:t>: Support the upgrading of Data Registries, primarily those required for the digitalization of the 20 Business Episodes, including by (a) considering the most recent business regulations and any relevant reforms, and (b) designing a business-friendly online interface that allows for easy navigation and offers an integrated online feedback mechanism for businesses.</w:t>
      </w:r>
    </w:p>
    <w:p w14:paraId="3CD5C1BC" w14:textId="77777777" w:rsidR="008E07BB" w:rsidRPr="00AB4DB2" w:rsidRDefault="008E07BB" w:rsidP="008E07BB">
      <w:pPr>
        <w:tabs>
          <w:tab w:val="left" w:pos="810"/>
        </w:tabs>
        <w:ind w:left="360"/>
        <w:jc w:val="both"/>
        <w:rPr>
          <w:rFonts w:eastAsia="Calibri"/>
        </w:rPr>
      </w:pPr>
      <w:r w:rsidRPr="00AB4DB2">
        <w:rPr>
          <w:rFonts w:eastAsia="Calibri"/>
          <w:bCs/>
          <w:i/>
        </w:rPr>
        <w:t>Part 5.</w:t>
      </w:r>
      <w:r w:rsidRPr="00AB4DB2" w:rsidDel="00B049FE">
        <w:rPr>
          <w:rFonts w:eastAsia="Calibri"/>
          <w:b/>
          <w:bCs/>
        </w:rPr>
        <w:t xml:space="preserve"> </w:t>
      </w:r>
      <w:r w:rsidRPr="00AB4DB2">
        <w:rPr>
          <w:rFonts w:eastAsia="Calibri"/>
          <w:b/>
          <w:bCs/>
        </w:rPr>
        <w:t>Implementation Support</w:t>
      </w:r>
      <w:r w:rsidRPr="00AB4DB2">
        <w:rPr>
          <w:rFonts w:eastAsia="Calibri"/>
        </w:rPr>
        <w:t>: Strengthen the Recipient staff’, and other government officials’, capacity through the organization of workshops and training on Business Episodes, and the provision of Operating Costs.</w:t>
      </w:r>
    </w:p>
    <w:p w14:paraId="6118B087" w14:textId="77777777" w:rsidR="007F13BB" w:rsidRPr="00AB4DB2" w:rsidRDefault="007F13BB" w:rsidP="007F13BB">
      <w:pPr>
        <w:tabs>
          <w:tab w:val="left" w:pos="810"/>
        </w:tabs>
        <w:jc w:val="both"/>
        <w:rPr>
          <w:rFonts w:eastAsia="Calibri"/>
        </w:rPr>
      </w:pPr>
    </w:p>
    <w:p w14:paraId="3E7206C8" w14:textId="6E7F2953" w:rsidR="00C0213E" w:rsidRPr="00AB4DB2" w:rsidRDefault="007F13BB" w:rsidP="007F13BB">
      <w:pPr>
        <w:tabs>
          <w:tab w:val="left" w:pos="810"/>
        </w:tabs>
        <w:jc w:val="both"/>
        <w:rPr>
          <w:rFonts w:eastAsia="Calibri"/>
        </w:rPr>
      </w:pPr>
      <w:r w:rsidRPr="00AB4DB2">
        <w:rPr>
          <w:rFonts w:eastAsia="Calibri"/>
        </w:rPr>
        <w:t>Public Policy Secretariat (PPS) as Client will carry out the Project in collaboration with the Office for Information Technologies and e-Government - government agency, tasked through the Letter Agreement for the Project, Article II. Project Execution, Part 5. Implementation Support, Paragraph 2.02 with collaboration in implementing various digitalization and e-Government initiatives (hereinafter: ITE).</w:t>
      </w:r>
    </w:p>
    <w:p w14:paraId="4ACDCE3E" w14:textId="77777777" w:rsidR="00C0213E" w:rsidRPr="00AB4DB2" w:rsidRDefault="00C0213E" w:rsidP="00C0213E">
      <w:pPr>
        <w:tabs>
          <w:tab w:val="left" w:pos="810"/>
        </w:tabs>
        <w:jc w:val="both"/>
        <w:rPr>
          <w:rFonts w:eastAsia="Calibri"/>
        </w:rPr>
      </w:pPr>
    </w:p>
    <w:p w14:paraId="696B5B0F" w14:textId="77777777" w:rsidR="008E07BB" w:rsidRPr="00AB4DB2" w:rsidRDefault="008E07BB" w:rsidP="00420103">
      <w:pPr>
        <w:rPr>
          <w:b/>
          <w:bCs/>
        </w:rPr>
      </w:pPr>
      <w:r w:rsidRPr="00AB4DB2">
        <w:rPr>
          <w:b/>
          <w:bCs/>
        </w:rPr>
        <w:t xml:space="preserve">Objectives of the assignment </w:t>
      </w:r>
    </w:p>
    <w:p w14:paraId="22E9F363" w14:textId="629BE960" w:rsidR="006C4F39" w:rsidRPr="00AB4DB2" w:rsidRDefault="006C4F39" w:rsidP="006C4F39">
      <w:pPr>
        <w:spacing w:before="120" w:after="120"/>
        <w:jc w:val="both"/>
      </w:pPr>
      <w:r w:rsidRPr="00AB4DB2">
        <w:t xml:space="preserve">The primary objective of this assignment is to enhance the visibility and public awareness of the </w:t>
      </w:r>
      <w:r w:rsidRPr="00AB4DB2">
        <w:rPr>
          <w:b/>
          <w:bCs/>
        </w:rPr>
        <w:t>Serbia Digitalization for Business Environment</w:t>
      </w:r>
      <w:r w:rsidRPr="00AB4DB2">
        <w:t xml:space="preserve"> project. The project, funded by the </w:t>
      </w:r>
      <w:r w:rsidRPr="00AB4DB2">
        <w:rPr>
          <w:b/>
          <w:bCs/>
        </w:rPr>
        <w:t>European Union</w:t>
      </w:r>
      <w:r w:rsidRPr="00AB4DB2">
        <w:t xml:space="preserve"> and the </w:t>
      </w:r>
      <w:r w:rsidRPr="00AB4DB2">
        <w:rPr>
          <w:b/>
          <w:bCs/>
        </w:rPr>
        <w:t>World Bank Group</w:t>
      </w:r>
      <w:r w:rsidRPr="00AB4DB2">
        <w:t>, aims to support the digitalization of government-to-business (G2B) services in Serbia. Through targeted visibility and promotion activities, this assignment will communicate the importance of digitalizing administrative services and highlight the Project's contributions to improving the business environment.</w:t>
      </w:r>
    </w:p>
    <w:p w14:paraId="042ADFBB" w14:textId="77777777" w:rsidR="006C4F39" w:rsidRPr="00AB4DB2" w:rsidRDefault="006C4F39" w:rsidP="006C4F39">
      <w:pPr>
        <w:spacing w:before="120" w:after="120"/>
        <w:jc w:val="both"/>
      </w:pPr>
      <w:r w:rsidRPr="00AB4DB2">
        <w:t>Specifically, the Consultant will be responsible for:</w:t>
      </w:r>
    </w:p>
    <w:p w14:paraId="69CB61D6" w14:textId="4130376F" w:rsidR="006815F0" w:rsidRPr="00AB4DB2" w:rsidRDefault="006815F0" w:rsidP="006815F0">
      <w:pPr>
        <w:numPr>
          <w:ilvl w:val="0"/>
          <w:numId w:val="28"/>
        </w:numPr>
        <w:suppressAutoHyphens w:val="0"/>
        <w:spacing w:after="160" w:line="259" w:lineRule="auto"/>
        <w:jc w:val="both"/>
      </w:pPr>
      <w:r w:rsidRPr="00AB4DB2">
        <w:rPr>
          <w:b/>
          <w:bCs/>
        </w:rPr>
        <w:t>Raise Awareness</w:t>
      </w:r>
      <w:r w:rsidRPr="00AB4DB2">
        <w:t>: Promote awareness of the benefits of G2B service digitalization, such as reducing administrative burdens, enhancing government transparency, and improving operational efficiency for businesses in Serbia.</w:t>
      </w:r>
    </w:p>
    <w:p w14:paraId="3A7545E1" w14:textId="77777777" w:rsidR="006815F0" w:rsidRPr="00AB4DB2" w:rsidRDefault="006815F0" w:rsidP="006815F0">
      <w:pPr>
        <w:numPr>
          <w:ilvl w:val="0"/>
          <w:numId w:val="28"/>
        </w:numPr>
        <w:suppressAutoHyphens w:val="0"/>
        <w:spacing w:after="160" w:line="259" w:lineRule="auto"/>
        <w:jc w:val="both"/>
      </w:pPr>
      <w:r w:rsidRPr="00AB4DB2">
        <w:rPr>
          <w:b/>
          <w:bCs/>
        </w:rPr>
        <w:t>Showcase Donor Support</w:t>
      </w:r>
      <w:r w:rsidRPr="00AB4DB2">
        <w:t>: Highlight the roles of the European Union and the World Bank Group as key funders through strategic public relations campaigns, press releases, and media engagements, with a minimum of 10 national and regional media articles or interviews.</w:t>
      </w:r>
    </w:p>
    <w:p w14:paraId="40069B3C" w14:textId="77777777" w:rsidR="006815F0" w:rsidRPr="00AB4DB2" w:rsidRDefault="006815F0" w:rsidP="006815F0">
      <w:pPr>
        <w:numPr>
          <w:ilvl w:val="0"/>
          <w:numId w:val="28"/>
        </w:numPr>
        <w:suppressAutoHyphens w:val="0"/>
        <w:spacing w:after="160" w:line="259" w:lineRule="auto"/>
        <w:jc w:val="both"/>
      </w:pPr>
      <w:r w:rsidRPr="00AB4DB2">
        <w:rPr>
          <w:b/>
          <w:bCs/>
        </w:rPr>
        <w:t>Organize Promotional Events</w:t>
      </w:r>
      <w:r w:rsidRPr="00AB4DB2">
        <w:t>: Conduct two public launch events and media briefings at key project milestones. These events will include up to 30 participants and 15 journalists, with costs for venues, AV equipment, catering, and participant transportation covered by the Consultant.</w:t>
      </w:r>
    </w:p>
    <w:p w14:paraId="587E261C" w14:textId="1F04745B" w:rsidR="006815F0" w:rsidRPr="00AB4DB2" w:rsidRDefault="006815F0" w:rsidP="006815F0">
      <w:pPr>
        <w:numPr>
          <w:ilvl w:val="0"/>
          <w:numId w:val="28"/>
        </w:numPr>
        <w:suppressAutoHyphens w:val="0"/>
        <w:spacing w:after="160" w:line="259" w:lineRule="auto"/>
        <w:jc w:val="both"/>
      </w:pPr>
      <w:r w:rsidRPr="00AB4DB2">
        <w:rPr>
          <w:b/>
          <w:bCs/>
        </w:rPr>
        <w:t>Design Comprehensive Campaigns</w:t>
      </w:r>
      <w:r w:rsidRPr="00AB4DB2">
        <w:t xml:space="preserve">: Develop a social media and public relations strategy, including at least 30 platform-specific posts, </w:t>
      </w:r>
      <w:bookmarkStart w:id="1" w:name="_Hlk188270998"/>
      <w:r w:rsidRPr="00AB4DB2">
        <w:t>three online graphics (incorporating EU and World Bank visibility guidelines)</w:t>
      </w:r>
      <w:bookmarkEnd w:id="1"/>
      <w:r w:rsidRPr="00AB4DB2">
        <w:t>, multimedia content (two videos and two animations), and one targeted digital campaign with paid advertisements.</w:t>
      </w:r>
    </w:p>
    <w:p w14:paraId="7A88EDCA" w14:textId="737B7AE3" w:rsidR="006815F0" w:rsidRDefault="006815F0" w:rsidP="006815F0">
      <w:pPr>
        <w:numPr>
          <w:ilvl w:val="0"/>
          <w:numId w:val="28"/>
        </w:numPr>
        <w:suppressAutoHyphens w:val="0"/>
        <w:spacing w:after="160" w:line="259" w:lineRule="auto"/>
        <w:jc w:val="both"/>
      </w:pPr>
      <w:r w:rsidRPr="00AB4DB2">
        <w:rPr>
          <w:b/>
          <w:bCs/>
        </w:rPr>
        <w:t>Ensure Branding Consistency</w:t>
      </w:r>
      <w:r w:rsidRPr="00AB4DB2">
        <w:t>: Adhere to EU and World Bank visibility guidelines across all communication materials, including promotional items, to maintain a unified narrative about the project’s objectives and achievements.</w:t>
      </w:r>
    </w:p>
    <w:p w14:paraId="63264B80" w14:textId="77777777" w:rsidR="00807D5A" w:rsidRPr="00AB4DB2" w:rsidRDefault="00807D5A" w:rsidP="00807D5A">
      <w:pPr>
        <w:suppressAutoHyphens w:val="0"/>
        <w:spacing w:after="160" w:line="259" w:lineRule="auto"/>
        <w:ind w:left="720"/>
        <w:jc w:val="both"/>
      </w:pPr>
    </w:p>
    <w:p w14:paraId="5A6327B4" w14:textId="77777777" w:rsidR="008E07BB" w:rsidRPr="00AB4DB2" w:rsidRDefault="008E07BB" w:rsidP="004520D7">
      <w:pPr>
        <w:rPr>
          <w:b/>
          <w:bCs/>
        </w:rPr>
      </w:pPr>
      <w:bookmarkStart w:id="2" w:name="_Hlk188269352"/>
      <w:r w:rsidRPr="00AB4DB2">
        <w:rPr>
          <w:b/>
          <w:bCs/>
        </w:rPr>
        <w:t xml:space="preserve">Scope of Work </w:t>
      </w:r>
    </w:p>
    <w:p w14:paraId="373E69AB" w14:textId="69FE9B43" w:rsidR="00A118C4" w:rsidRPr="00AB4DB2" w:rsidRDefault="006C4F39" w:rsidP="006C4F39">
      <w:pPr>
        <w:spacing w:before="120" w:after="120" w:line="254" w:lineRule="auto"/>
        <w:jc w:val="both"/>
      </w:pPr>
      <w:r w:rsidRPr="00AB4DB2">
        <w:t xml:space="preserve">The Consultant will work closely with the </w:t>
      </w:r>
      <w:r w:rsidR="001B5108" w:rsidRPr="00AB4DB2">
        <w:t xml:space="preserve">Client </w:t>
      </w:r>
      <w:r w:rsidRPr="00AB4DB2">
        <w:t xml:space="preserve">Project Implementation Unit (PIU), the European Union, and the World Bank Group to develop and implement a comprehensive visibility and promotion strategy for the </w:t>
      </w:r>
      <w:r w:rsidRPr="00AB4DB2">
        <w:rPr>
          <w:b/>
          <w:bCs/>
        </w:rPr>
        <w:t>Serbia Digitalization for Business Environment</w:t>
      </w:r>
      <w:r w:rsidRPr="00AB4DB2">
        <w:t xml:space="preserve"> project. The scope of work includes, but is not limited to, the following tasks:</w:t>
      </w:r>
    </w:p>
    <w:p w14:paraId="14F124A1" w14:textId="5ACE6E5A" w:rsidR="00A118C4" w:rsidRPr="00AB4DB2" w:rsidRDefault="00A118C4" w:rsidP="00EC4E2F">
      <w:pPr>
        <w:spacing w:after="160" w:line="259" w:lineRule="auto"/>
        <w:jc w:val="both"/>
      </w:pPr>
      <w:r w:rsidRPr="00AB4DB2">
        <w:t>1.  Development of a Comprehensive Communication Strategy:</w:t>
      </w:r>
    </w:p>
    <w:p w14:paraId="0216EFE9" w14:textId="77777777" w:rsidR="00A118C4" w:rsidRPr="00AB4DB2" w:rsidRDefault="00A118C4" w:rsidP="00A118C4">
      <w:pPr>
        <w:numPr>
          <w:ilvl w:val="0"/>
          <w:numId w:val="30"/>
        </w:numPr>
        <w:suppressAutoHyphens w:val="0"/>
        <w:spacing w:after="160" w:line="259" w:lineRule="auto"/>
        <w:jc w:val="both"/>
      </w:pPr>
      <w:r w:rsidRPr="00AB4DB2">
        <w:t>Prepare a comprehensive communication strategy that outlines key messages, target audiences, communication channels, and a timeline of activities.</w:t>
      </w:r>
    </w:p>
    <w:p w14:paraId="44FE72B2" w14:textId="77777777" w:rsidR="00A118C4" w:rsidRPr="00AB4DB2" w:rsidRDefault="00A118C4" w:rsidP="00A118C4">
      <w:pPr>
        <w:numPr>
          <w:ilvl w:val="0"/>
          <w:numId w:val="30"/>
        </w:numPr>
        <w:suppressAutoHyphens w:val="0"/>
        <w:spacing w:after="160" w:line="259" w:lineRule="auto"/>
        <w:jc w:val="both"/>
      </w:pPr>
      <w:r w:rsidRPr="00AB4DB2">
        <w:t>Create a detailed action plan specifying promotional activities, event schedules, social media strategies, and media outreach plans.</w:t>
      </w:r>
    </w:p>
    <w:p w14:paraId="7082E138" w14:textId="2DC7A6F6" w:rsidR="00A118C4" w:rsidRPr="00AB4DB2" w:rsidRDefault="00A118C4" w:rsidP="00A118C4">
      <w:pPr>
        <w:numPr>
          <w:ilvl w:val="0"/>
          <w:numId w:val="30"/>
        </w:numPr>
        <w:suppressAutoHyphens w:val="0"/>
        <w:spacing w:after="160" w:line="259" w:lineRule="auto"/>
        <w:jc w:val="both"/>
      </w:pPr>
      <w:r w:rsidRPr="00AB4DB2">
        <w:t>Ensure messaging aligns with EU and World Bank visibility guidelines and emphasizes their roles in supporting the digitalization of government-to-business (G2B) services</w:t>
      </w:r>
      <w:r w:rsidR="00C57DE3" w:rsidRPr="00AB4DB2">
        <w:t>, including fully developed social media strategy with platform-specific content plans, posting schedules, and engagement targets</w:t>
      </w:r>
      <w:r w:rsidRPr="00AB4DB2">
        <w:t>.</w:t>
      </w:r>
    </w:p>
    <w:p w14:paraId="2C929E01" w14:textId="679757AB" w:rsidR="00A118C4" w:rsidRPr="00AB4DB2" w:rsidRDefault="00A118C4" w:rsidP="00A118C4">
      <w:pPr>
        <w:spacing w:after="160" w:line="259" w:lineRule="auto"/>
        <w:jc w:val="both"/>
      </w:pPr>
      <w:r w:rsidRPr="00AB4DB2">
        <w:t>2.  Event Organization and Management:</w:t>
      </w:r>
    </w:p>
    <w:p w14:paraId="0FC448FC" w14:textId="59E39ED3" w:rsidR="00A118C4" w:rsidRPr="00AB4DB2" w:rsidRDefault="00A118C4" w:rsidP="00A118C4">
      <w:pPr>
        <w:numPr>
          <w:ilvl w:val="0"/>
          <w:numId w:val="31"/>
        </w:numPr>
        <w:suppressAutoHyphens w:val="0"/>
        <w:spacing w:after="160" w:line="259" w:lineRule="auto"/>
        <w:jc w:val="both"/>
      </w:pPr>
      <w:r w:rsidRPr="00AB4DB2">
        <w:t>Plan and execute promotional events, including one (1) conference in Belgrade targeting up to 40 participants</w:t>
      </w:r>
      <w:r w:rsidR="00C57DE3" w:rsidRPr="00AB4DB2">
        <w:t>, including detailed agenda</w:t>
      </w:r>
      <w:r w:rsidR="00CF3D3E" w:rsidRPr="00AB4DB2">
        <w:t>,</w:t>
      </w:r>
      <w:r w:rsidR="00C57DE3" w:rsidRPr="00AB4DB2">
        <w:t xml:space="preserve"> participant lists, speaker lists, and media invitations</w:t>
      </w:r>
      <w:r w:rsidRPr="00AB4DB2">
        <w:t>.</w:t>
      </w:r>
    </w:p>
    <w:p w14:paraId="78309CFF" w14:textId="7D3D46EA" w:rsidR="00A118C4" w:rsidRPr="00AB4DB2" w:rsidRDefault="00A118C4" w:rsidP="00A118C4">
      <w:pPr>
        <w:numPr>
          <w:ilvl w:val="0"/>
          <w:numId w:val="31"/>
        </w:numPr>
        <w:suppressAutoHyphens w:val="0"/>
        <w:spacing w:after="160" w:line="259" w:lineRule="auto"/>
        <w:jc w:val="both"/>
      </w:pPr>
      <w:r w:rsidRPr="00AB4DB2">
        <w:t xml:space="preserve">Organize two (2) public launch events and two (2) media briefings, </w:t>
      </w:r>
      <w:r w:rsidR="00C57DE3" w:rsidRPr="00AB4DB2">
        <w:t xml:space="preserve">with at least 30 participants and 15 </w:t>
      </w:r>
      <w:r w:rsidR="00CD5464">
        <w:t>media workers</w:t>
      </w:r>
      <w:r w:rsidR="00CD5464" w:rsidRPr="00AB4DB2">
        <w:t xml:space="preserve"> </w:t>
      </w:r>
      <w:r w:rsidR="00C57DE3" w:rsidRPr="00AB4DB2">
        <w:t xml:space="preserve">in attendance, </w:t>
      </w:r>
      <w:r w:rsidRPr="00AB4DB2">
        <w:t>ensuring visibility and media engagement</w:t>
      </w:r>
      <w:r w:rsidR="00CD5464">
        <w:rPr>
          <w:rStyle w:val="FootnoteReference"/>
        </w:rPr>
        <w:footnoteReference w:id="1"/>
      </w:r>
      <w:r w:rsidR="008F2BD8" w:rsidRPr="00AB4DB2">
        <w:t>.</w:t>
      </w:r>
    </w:p>
    <w:p w14:paraId="5AA273E9" w14:textId="1F4B1047" w:rsidR="008F2BD8" w:rsidRPr="00AB4DB2" w:rsidRDefault="008F2BD8" w:rsidP="008F2BD8">
      <w:pPr>
        <w:numPr>
          <w:ilvl w:val="0"/>
          <w:numId w:val="31"/>
        </w:numPr>
        <w:suppressAutoHyphens w:val="0"/>
        <w:spacing w:after="160" w:line="259" w:lineRule="auto"/>
        <w:jc w:val="both"/>
      </w:pPr>
      <w:r w:rsidRPr="00AB4DB2">
        <w:t>Propose and set up for use an on-line stakeholder feed-back tracking and collection tool/mechanism for use during all public events, in order to maximize stakeholder engagement, collect their insight</w:t>
      </w:r>
      <w:r w:rsidR="00AA4F68" w:rsidRPr="00AB4DB2">
        <w:t>,</w:t>
      </w:r>
      <w:r w:rsidRPr="00AB4DB2">
        <w:t xml:space="preserve"> to ensure continuous improvement and provide recommendations for further stakeholders</w:t>
      </w:r>
      <w:proofErr w:type="gramStart"/>
      <w:r w:rsidRPr="00AB4DB2">
        <w:t>’  communication</w:t>
      </w:r>
      <w:proofErr w:type="gramEnd"/>
      <w:r w:rsidRPr="00AB4DB2">
        <w:t xml:space="preserve"> and engagement.</w:t>
      </w:r>
    </w:p>
    <w:p w14:paraId="7C03DE57" w14:textId="77777777" w:rsidR="00A118C4" w:rsidRPr="00AB4DB2" w:rsidRDefault="00A118C4" w:rsidP="00A118C4">
      <w:pPr>
        <w:numPr>
          <w:ilvl w:val="0"/>
          <w:numId w:val="31"/>
        </w:numPr>
        <w:suppressAutoHyphens w:val="0"/>
        <w:spacing w:after="160" w:line="259" w:lineRule="auto"/>
        <w:jc w:val="both"/>
      </w:pPr>
      <w:r w:rsidRPr="00AB4DB2">
        <w:t>Provide event venues, accompanying AV equipment, catering, and participant transportation where necessary.</w:t>
      </w:r>
    </w:p>
    <w:p w14:paraId="7F141F64" w14:textId="396ADCF3" w:rsidR="00A118C4" w:rsidRPr="00AB4DB2" w:rsidRDefault="00A118C4" w:rsidP="00327876">
      <w:pPr>
        <w:numPr>
          <w:ilvl w:val="0"/>
          <w:numId w:val="31"/>
        </w:numPr>
        <w:suppressAutoHyphens w:val="0"/>
        <w:spacing w:after="160" w:line="259" w:lineRule="auto"/>
        <w:jc w:val="both"/>
      </w:pPr>
      <w:r w:rsidRPr="00AB4DB2">
        <w:t>Reports on successfully executed events, including outcomes, media coverage, and participant feedback.</w:t>
      </w:r>
    </w:p>
    <w:p w14:paraId="1462D020" w14:textId="5B43AA98" w:rsidR="00A118C4" w:rsidRPr="00AB4DB2" w:rsidRDefault="00A118C4" w:rsidP="00A118C4">
      <w:pPr>
        <w:spacing w:after="160" w:line="259" w:lineRule="auto"/>
        <w:jc w:val="both"/>
      </w:pPr>
      <w:r w:rsidRPr="00AB4DB2">
        <w:t>3.  Social Media Strategy and Digital Campaigns:</w:t>
      </w:r>
    </w:p>
    <w:p w14:paraId="2DD7079C" w14:textId="3055121B" w:rsidR="00A118C4" w:rsidRPr="00AB4DB2" w:rsidRDefault="00A118C4" w:rsidP="00A118C4">
      <w:pPr>
        <w:numPr>
          <w:ilvl w:val="0"/>
          <w:numId w:val="32"/>
        </w:numPr>
        <w:suppressAutoHyphens w:val="0"/>
        <w:spacing w:after="160" w:line="259" w:lineRule="auto"/>
        <w:jc w:val="both"/>
      </w:pPr>
      <w:r w:rsidRPr="00AB4DB2">
        <w:t>Develop a social media strategy with platform-specific content plans and a schedule for consistent engagement</w:t>
      </w:r>
      <w:r w:rsidR="00C57DE3" w:rsidRPr="00AB4DB2">
        <w:t xml:space="preserve"> (up to 30 platform-specific social media posts)</w:t>
      </w:r>
      <w:r w:rsidRPr="00AB4DB2">
        <w:t>.</w:t>
      </w:r>
    </w:p>
    <w:p w14:paraId="2D4BB70D" w14:textId="74BE2D4E" w:rsidR="00A118C4" w:rsidRPr="00AB4DB2" w:rsidRDefault="00A118C4" w:rsidP="00A118C4">
      <w:pPr>
        <w:numPr>
          <w:ilvl w:val="0"/>
          <w:numId w:val="32"/>
        </w:numPr>
        <w:suppressAutoHyphens w:val="0"/>
        <w:spacing w:after="160" w:line="259" w:lineRule="auto"/>
        <w:jc w:val="both"/>
      </w:pPr>
      <w:r w:rsidRPr="00AB4DB2">
        <w:t>Create engaging multimedia content such as infographics, videos, and explanatory animations that align with donor visibility guidelines</w:t>
      </w:r>
      <w:r w:rsidR="00C57DE3" w:rsidRPr="00AB4DB2">
        <w:t xml:space="preserve"> - t</w:t>
      </w:r>
      <w:r w:rsidR="002946A3" w:rsidRPr="00AB4DB2">
        <w:t>hree</w:t>
      </w:r>
      <w:r w:rsidR="00C57DE3" w:rsidRPr="00AB4DB2">
        <w:t xml:space="preserve"> (</w:t>
      </w:r>
      <w:r w:rsidR="002946A3" w:rsidRPr="00AB4DB2">
        <w:t>3</w:t>
      </w:r>
      <w:r w:rsidR="00C57DE3" w:rsidRPr="00AB4DB2">
        <w:t>) infographics, two (2) videos, and two (2) explanatory animations.</w:t>
      </w:r>
    </w:p>
    <w:p w14:paraId="4CBA3D39" w14:textId="3ECA1AC5" w:rsidR="00A118C4" w:rsidRPr="00AB4DB2" w:rsidRDefault="00A118C4" w:rsidP="00A118C4">
      <w:pPr>
        <w:numPr>
          <w:ilvl w:val="0"/>
          <w:numId w:val="32"/>
        </w:numPr>
        <w:suppressAutoHyphens w:val="0"/>
        <w:spacing w:after="160" w:line="259" w:lineRule="auto"/>
        <w:jc w:val="both"/>
      </w:pPr>
      <w:r w:rsidRPr="00AB4DB2">
        <w:t>Execute one (1) targeted digital campaign, including paid advertisements and tailored content</w:t>
      </w:r>
      <w:r w:rsidR="00C57DE3" w:rsidRPr="00AB4DB2">
        <w:t>, and provide reports on a targeted digital campaign, including performance metrics</w:t>
      </w:r>
      <w:r w:rsidRPr="00AB4DB2">
        <w:t>.</w:t>
      </w:r>
    </w:p>
    <w:p w14:paraId="0ACABCA0" w14:textId="5B56803D" w:rsidR="00C57DE3" w:rsidRPr="00AB4DB2" w:rsidRDefault="00C57DE3" w:rsidP="00A118C4">
      <w:pPr>
        <w:numPr>
          <w:ilvl w:val="0"/>
          <w:numId w:val="32"/>
        </w:numPr>
        <w:suppressAutoHyphens w:val="0"/>
        <w:spacing w:after="160" w:line="259" w:lineRule="auto"/>
        <w:jc w:val="both"/>
      </w:pPr>
      <w:r w:rsidRPr="00AB4DB2">
        <w:t>Monthly social media performance reports detailing reach, engagement, follower growth, and content performance.</w:t>
      </w:r>
    </w:p>
    <w:p w14:paraId="18C96FFF" w14:textId="6FEB7C34" w:rsidR="00A118C4" w:rsidRPr="00AB4DB2" w:rsidRDefault="00A118C4" w:rsidP="00A118C4">
      <w:pPr>
        <w:spacing w:after="160" w:line="259" w:lineRule="auto"/>
        <w:jc w:val="both"/>
      </w:pPr>
      <w:r w:rsidRPr="00AB4DB2">
        <w:t>4.  Public Relations and Media Engagement:</w:t>
      </w:r>
    </w:p>
    <w:p w14:paraId="02DA44D6" w14:textId="77777777" w:rsidR="00A118C4" w:rsidRPr="00AB4DB2" w:rsidRDefault="00A118C4" w:rsidP="00A118C4">
      <w:pPr>
        <w:numPr>
          <w:ilvl w:val="0"/>
          <w:numId w:val="33"/>
        </w:numPr>
        <w:suppressAutoHyphens w:val="0"/>
        <w:spacing w:after="160" w:line="259" w:lineRule="auto"/>
        <w:jc w:val="both"/>
      </w:pPr>
      <w:r w:rsidRPr="00AB4DB2">
        <w:t>Prepare and distribute press releases and media kits to highlight project milestones and successes.</w:t>
      </w:r>
    </w:p>
    <w:p w14:paraId="0A8F65E4" w14:textId="25EDA72F" w:rsidR="00A118C4" w:rsidRPr="00AB4DB2" w:rsidRDefault="00A118C4" w:rsidP="00A118C4">
      <w:pPr>
        <w:numPr>
          <w:ilvl w:val="0"/>
          <w:numId w:val="33"/>
        </w:numPr>
        <w:suppressAutoHyphens w:val="0"/>
        <w:spacing w:after="160" w:line="259" w:lineRule="auto"/>
        <w:jc w:val="both"/>
      </w:pPr>
      <w:r w:rsidRPr="00AB4DB2">
        <w:t>Secure a minimum of 10 media articles or interviews in national and regional outlets.</w:t>
      </w:r>
    </w:p>
    <w:p w14:paraId="3664C223" w14:textId="32D68069" w:rsidR="00963237" w:rsidRPr="00807D5A" w:rsidRDefault="00CD5464" w:rsidP="006611CE">
      <w:pPr>
        <w:numPr>
          <w:ilvl w:val="0"/>
          <w:numId w:val="33"/>
        </w:numPr>
        <w:suppressAutoHyphens w:val="0"/>
        <w:spacing w:after="160" w:line="259" w:lineRule="auto"/>
        <w:jc w:val="both"/>
      </w:pPr>
      <w:r>
        <w:t>Quarterly</w:t>
      </w:r>
      <w:r w:rsidRPr="00AB4DB2">
        <w:t xml:space="preserve"> </w:t>
      </w:r>
      <w:r w:rsidR="00EE2885" w:rsidRPr="00AB4DB2">
        <w:t>media monitoring reports analyzing coverage and impact</w:t>
      </w:r>
      <w:r w:rsidR="00A118C4" w:rsidRPr="00AB4DB2">
        <w:t>.</w:t>
      </w:r>
    </w:p>
    <w:p w14:paraId="448BCBA6" w14:textId="20714EC9" w:rsidR="00A118C4" w:rsidRPr="00AB4DB2" w:rsidRDefault="00454245" w:rsidP="00A118C4">
      <w:pPr>
        <w:spacing w:after="160" w:line="259" w:lineRule="auto"/>
        <w:jc w:val="both"/>
      </w:pPr>
      <w:r w:rsidRPr="00AB4DB2">
        <w:t>5</w:t>
      </w:r>
      <w:r w:rsidR="00A118C4" w:rsidRPr="00AB4DB2">
        <w:t>.  Reporting and Documentation:</w:t>
      </w:r>
    </w:p>
    <w:p w14:paraId="54296070" w14:textId="09BD5D3B" w:rsidR="00437712" w:rsidRPr="00AB4DB2" w:rsidRDefault="00A118C4" w:rsidP="00377394">
      <w:pPr>
        <w:numPr>
          <w:ilvl w:val="0"/>
          <w:numId w:val="36"/>
        </w:numPr>
        <w:suppressAutoHyphens w:val="0"/>
        <w:spacing w:after="160" w:line="259" w:lineRule="auto"/>
        <w:jc w:val="both"/>
      </w:pPr>
      <w:r w:rsidRPr="00AB4DB2">
        <w:t>Provide quarterly progress reports detailing activities, media coverage, social media metrics, and feedback.</w:t>
      </w:r>
      <w:r w:rsidR="00437712" w:rsidRPr="00AB4DB2">
        <w:t xml:space="preserve"> </w:t>
      </w:r>
    </w:p>
    <w:p w14:paraId="1CA362CB" w14:textId="3DD76FCF" w:rsidR="00437712" w:rsidRPr="00AB4DB2" w:rsidRDefault="00437712" w:rsidP="00377394">
      <w:pPr>
        <w:numPr>
          <w:ilvl w:val="0"/>
          <w:numId w:val="36"/>
        </w:numPr>
        <w:suppressAutoHyphens w:val="0"/>
        <w:spacing w:after="160" w:line="259" w:lineRule="auto"/>
        <w:jc w:val="both"/>
      </w:pPr>
      <w:r w:rsidRPr="00AB4DB2">
        <w:t>The reports should be concise, clear, and structured to provide an overview of the project’s status.</w:t>
      </w:r>
      <w:r w:rsidR="00377394" w:rsidRPr="00AB4DB2">
        <w:t xml:space="preserve"> </w:t>
      </w:r>
      <w:r w:rsidRPr="00AB4DB2">
        <w:t>Each report should include:</w:t>
      </w:r>
    </w:p>
    <w:p w14:paraId="4311B912" w14:textId="21987BED" w:rsidR="00437712" w:rsidRPr="00AB4DB2" w:rsidRDefault="00377394" w:rsidP="00242AD9">
      <w:pPr>
        <w:suppressAutoHyphens w:val="0"/>
        <w:spacing w:after="160" w:line="259" w:lineRule="auto"/>
        <w:ind w:left="720"/>
        <w:jc w:val="both"/>
      </w:pPr>
      <w:r w:rsidRPr="00AB4DB2">
        <w:t xml:space="preserve">- </w:t>
      </w:r>
      <w:r w:rsidR="00437712" w:rsidRPr="00AB4DB2">
        <w:t>A summary of the work completed during the reporting period</w:t>
      </w:r>
    </w:p>
    <w:p w14:paraId="19F5D1A4" w14:textId="67F21F30" w:rsidR="00437712" w:rsidRPr="00AB4DB2" w:rsidRDefault="00377394" w:rsidP="00242AD9">
      <w:pPr>
        <w:suppressAutoHyphens w:val="0"/>
        <w:spacing w:after="160" w:line="259" w:lineRule="auto"/>
        <w:ind w:left="720"/>
        <w:jc w:val="both"/>
      </w:pPr>
      <w:r w:rsidRPr="00AB4DB2">
        <w:t>-</w:t>
      </w:r>
      <w:r w:rsidR="00437712" w:rsidRPr="00AB4DB2">
        <w:t>Status updates on each deliverable, detailing progress, any issues encountered, and actions taken to resolve them</w:t>
      </w:r>
    </w:p>
    <w:p w14:paraId="06783BDA" w14:textId="23F56CA6" w:rsidR="00437712" w:rsidRPr="00AB4DB2" w:rsidRDefault="00377394" w:rsidP="00242AD9">
      <w:pPr>
        <w:suppressAutoHyphens w:val="0"/>
        <w:spacing w:after="160" w:line="259" w:lineRule="auto"/>
        <w:ind w:left="720"/>
        <w:jc w:val="both"/>
      </w:pPr>
      <w:r w:rsidRPr="00AB4DB2">
        <w:t>-</w:t>
      </w:r>
      <w:r w:rsidR="00437712" w:rsidRPr="00AB4DB2">
        <w:t>Any deviations from the original project plan, including explanations and proposed corrective actions</w:t>
      </w:r>
    </w:p>
    <w:p w14:paraId="42108A4D" w14:textId="45F4BA63" w:rsidR="00A118C4" w:rsidRPr="00AB4DB2" w:rsidRDefault="00377394" w:rsidP="00242AD9">
      <w:pPr>
        <w:suppressAutoHyphens w:val="0"/>
        <w:spacing w:after="160" w:line="259" w:lineRule="auto"/>
        <w:ind w:left="720"/>
        <w:jc w:val="both"/>
      </w:pPr>
      <w:r w:rsidRPr="00AB4DB2">
        <w:t>-</w:t>
      </w:r>
      <w:r w:rsidR="00437712" w:rsidRPr="00AB4DB2">
        <w:t>A summary of upcoming tasks and activities for the next phase of the project</w:t>
      </w:r>
    </w:p>
    <w:p w14:paraId="0F969480" w14:textId="40982177" w:rsidR="00A118C4" w:rsidRPr="00AB4DB2" w:rsidRDefault="00A118C4" w:rsidP="00A118C4">
      <w:pPr>
        <w:numPr>
          <w:ilvl w:val="0"/>
          <w:numId w:val="36"/>
        </w:numPr>
        <w:suppressAutoHyphens w:val="0"/>
        <w:spacing w:after="160" w:line="259" w:lineRule="auto"/>
        <w:jc w:val="both"/>
      </w:pPr>
      <w:r w:rsidRPr="00AB4DB2">
        <w:t>Prepare a final comprehensive report summarizing all visibility and promotion activities, including an assessment of their impact and recommendations for future initiatives.</w:t>
      </w:r>
    </w:p>
    <w:p w14:paraId="2748A806" w14:textId="6A090A4B" w:rsidR="005D0DCB" w:rsidRPr="00AB4DB2" w:rsidRDefault="005D0DCB" w:rsidP="00A118C4">
      <w:pPr>
        <w:numPr>
          <w:ilvl w:val="0"/>
          <w:numId w:val="36"/>
        </w:numPr>
        <w:suppressAutoHyphens w:val="0"/>
        <w:spacing w:after="160" w:line="259" w:lineRule="auto"/>
        <w:jc w:val="both"/>
      </w:pPr>
      <w:r w:rsidRPr="00AB4DB2">
        <w:t>The Consultant is required to report to Client’s representative</w:t>
      </w:r>
      <w:r w:rsidR="00CD5464">
        <w:t xml:space="preserve">, as well as </w:t>
      </w:r>
      <w:r w:rsidR="00A726C9">
        <w:t>appointed representatives of the World Bank and the Delegation of the European Union,</w:t>
      </w:r>
      <w:r w:rsidRPr="00AB4DB2">
        <w:t xml:space="preserve"> and submit reports aligned with the deliverables' due dates.</w:t>
      </w:r>
    </w:p>
    <w:p w14:paraId="3FCBF46F" w14:textId="065D7002" w:rsidR="00377394" w:rsidRPr="00AB4DB2" w:rsidRDefault="00377394" w:rsidP="00A118C4">
      <w:pPr>
        <w:numPr>
          <w:ilvl w:val="0"/>
          <w:numId w:val="36"/>
        </w:numPr>
        <w:suppressAutoHyphens w:val="0"/>
        <w:spacing w:after="160" w:line="259" w:lineRule="auto"/>
        <w:jc w:val="both"/>
      </w:pPr>
      <w:r w:rsidRPr="00AB4DB2">
        <w:t>All reports in Serbian and English languages must be delivered electronically in both PDF and Word formats via email (to be advised after the signing of the Contract).</w:t>
      </w:r>
    </w:p>
    <w:p w14:paraId="1F3321D6" w14:textId="3DB16E75" w:rsidR="00A118C4" w:rsidRPr="00AB4DB2" w:rsidRDefault="00454245" w:rsidP="00A118C4">
      <w:pPr>
        <w:spacing w:after="160" w:line="259" w:lineRule="auto"/>
        <w:jc w:val="both"/>
      </w:pPr>
      <w:r w:rsidRPr="00AB4DB2">
        <w:t>6</w:t>
      </w:r>
      <w:r w:rsidR="00A118C4" w:rsidRPr="00AB4DB2">
        <w:t>.  Capacity Building and Knowledge Transfer:</w:t>
      </w:r>
    </w:p>
    <w:p w14:paraId="07A5D03C" w14:textId="56519C5A" w:rsidR="00A118C4" w:rsidRPr="00AB4DB2" w:rsidRDefault="00A118C4" w:rsidP="00A118C4">
      <w:pPr>
        <w:numPr>
          <w:ilvl w:val="0"/>
          <w:numId w:val="37"/>
        </w:numPr>
        <w:suppressAutoHyphens w:val="0"/>
        <w:spacing w:after="160" w:line="259" w:lineRule="auto"/>
        <w:jc w:val="both"/>
      </w:pPr>
      <w:r w:rsidRPr="00AB4DB2">
        <w:t xml:space="preserve">Conduct one (1) training session for PIU staff and relevant stakeholders </w:t>
      </w:r>
      <w:r w:rsidR="00176A22" w:rsidRPr="00AB4DB2">
        <w:t xml:space="preserve">(up to 10 participants) </w:t>
      </w:r>
      <w:r w:rsidRPr="00AB4DB2">
        <w:t>on managing media relations, social media, and public engagement.</w:t>
      </w:r>
    </w:p>
    <w:p w14:paraId="7F3237D4" w14:textId="09590E96" w:rsidR="00A118C4" w:rsidRPr="00AB4DB2" w:rsidRDefault="00176A22" w:rsidP="00A118C4">
      <w:pPr>
        <w:numPr>
          <w:ilvl w:val="0"/>
          <w:numId w:val="37"/>
        </w:numPr>
        <w:suppressAutoHyphens w:val="0"/>
        <w:spacing w:after="160" w:line="259" w:lineRule="auto"/>
        <w:jc w:val="both"/>
      </w:pPr>
      <w:r w:rsidRPr="00AB4DB2">
        <w:t>Comprehensive handover to e</w:t>
      </w:r>
      <w:r w:rsidR="00A118C4" w:rsidRPr="00AB4DB2">
        <w:t xml:space="preserve">nsure </w:t>
      </w:r>
      <w:r w:rsidRPr="00AB4DB2">
        <w:t xml:space="preserve">that </w:t>
      </w:r>
      <w:r w:rsidR="00A118C4" w:rsidRPr="00AB4DB2">
        <w:t>the PIU is equipped to sustain promotional activities through the transfer of communication tools, strategies</w:t>
      </w:r>
      <w:r w:rsidRPr="00AB4DB2">
        <w:t>/plans</w:t>
      </w:r>
      <w:r w:rsidR="00A118C4" w:rsidRPr="00AB4DB2">
        <w:t>, and documentation.</w:t>
      </w:r>
    </w:p>
    <w:bookmarkEnd w:id="2"/>
    <w:p w14:paraId="3B3EABB1" w14:textId="530FF27D" w:rsidR="00A445DC" w:rsidRPr="00AB4DB2" w:rsidRDefault="00A445DC" w:rsidP="005C2763">
      <w:pPr>
        <w:rPr>
          <w:rFonts w:eastAsia="Calibri"/>
          <w:b/>
          <w:bCs/>
        </w:rPr>
      </w:pPr>
      <w:r w:rsidRPr="00AB4DB2">
        <w:rPr>
          <w:rFonts w:eastAsia="Calibri"/>
          <w:b/>
          <w:bCs/>
        </w:rPr>
        <w:t>Deliverables</w:t>
      </w:r>
    </w:p>
    <w:p w14:paraId="139BCC27" w14:textId="36B0DDEB" w:rsidR="00B55CF2" w:rsidRPr="00AB4DB2" w:rsidRDefault="00B55CF2" w:rsidP="00B55CF2">
      <w:pPr>
        <w:jc w:val="both"/>
        <w:rPr>
          <w:rFonts w:eastAsia="Calibri"/>
        </w:rPr>
      </w:pPr>
      <w:r w:rsidRPr="00AB4DB2">
        <w:rPr>
          <w:rFonts w:eastAsia="Calibri"/>
        </w:rPr>
        <w:t xml:space="preserve">Each deliverable outlined in this Terms of Reference must be prepared and submitted for review and acceptance by the </w:t>
      </w:r>
      <w:r w:rsidR="00FF73C6" w:rsidRPr="00AB4DB2">
        <w:rPr>
          <w:rFonts w:eastAsia="Calibri"/>
        </w:rPr>
        <w:t>Client</w:t>
      </w:r>
      <w:r w:rsidR="00A726C9">
        <w:rPr>
          <w:rFonts w:eastAsia="Calibri"/>
        </w:rPr>
        <w:t>, with copies sent to appointed representatives of the World Bank and the Delegation of the European Union</w:t>
      </w:r>
      <w:r w:rsidR="00176A22" w:rsidRPr="00AB4DB2">
        <w:rPr>
          <w:rFonts w:eastAsia="Calibri"/>
        </w:rPr>
        <w:t>.</w:t>
      </w:r>
      <w:r w:rsidR="00FF73C6" w:rsidRPr="00AB4DB2">
        <w:rPr>
          <w:rFonts w:eastAsia="Calibri"/>
        </w:rPr>
        <w:t xml:space="preserve"> </w:t>
      </w:r>
      <w:r w:rsidRPr="00AB4DB2">
        <w:rPr>
          <w:rFonts w:eastAsia="Calibri"/>
        </w:rPr>
        <w:t xml:space="preserve">All deliverables, including documents and reports, must be provided in both PDF and Word formats. </w:t>
      </w:r>
      <w:r w:rsidR="00DD2F1D" w:rsidRPr="00AB4DB2">
        <w:rPr>
          <w:rFonts w:eastAsia="Calibri"/>
        </w:rPr>
        <w:t xml:space="preserve">In addition, all deliverables and reports should be submitted in both Serbian and English. </w:t>
      </w:r>
      <w:r w:rsidRPr="00AB4DB2">
        <w:rPr>
          <w:rFonts w:eastAsia="Calibri"/>
        </w:rPr>
        <w:t xml:space="preserve">It is essential that each deliverable meets the agreed-upon specifications and is formally accepted by the </w:t>
      </w:r>
      <w:r w:rsidR="009B0C38" w:rsidRPr="00AB4DB2">
        <w:rPr>
          <w:rFonts w:eastAsia="Calibri"/>
        </w:rPr>
        <w:t xml:space="preserve">Client </w:t>
      </w:r>
      <w:r w:rsidRPr="00AB4DB2">
        <w:rPr>
          <w:rFonts w:eastAsia="Calibri"/>
        </w:rPr>
        <w:t>before proceeding to subsequent phases of the project.</w:t>
      </w:r>
    </w:p>
    <w:p w14:paraId="4A13680B" w14:textId="66630F02" w:rsidR="0037661E" w:rsidRPr="00AB4DB2" w:rsidRDefault="0037661E" w:rsidP="00B55CF2">
      <w:pPr>
        <w:jc w:val="both"/>
        <w:rPr>
          <w:rFonts w:eastAsia="Calibri"/>
        </w:rPr>
      </w:pPr>
    </w:p>
    <w:p w14:paraId="552DAADC" w14:textId="4C69CA7C" w:rsidR="00963237" w:rsidRPr="00AB4DB2" w:rsidRDefault="00963237" w:rsidP="00B55CF2">
      <w:pPr>
        <w:jc w:val="both"/>
        <w:rPr>
          <w:rFonts w:eastAsia="Calibri"/>
        </w:rPr>
      </w:pPr>
      <w:r w:rsidRPr="00AB4DB2">
        <w:rPr>
          <w:b/>
          <w:i/>
        </w:rPr>
        <w:t>Table 1. Deliverables and Period of Performance</w:t>
      </w:r>
    </w:p>
    <w:tbl>
      <w:tblPr>
        <w:tblStyle w:val="TableGrid"/>
        <w:tblW w:w="9918" w:type="dxa"/>
        <w:tblLook w:val="04A0" w:firstRow="1" w:lastRow="0" w:firstColumn="1" w:lastColumn="0" w:noHBand="0" w:noVBand="1"/>
      </w:tblPr>
      <w:tblGrid>
        <w:gridCol w:w="1161"/>
        <w:gridCol w:w="1870"/>
        <w:gridCol w:w="4467"/>
        <w:gridCol w:w="2420"/>
      </w:tblGrid>
      <w:tr w:rsidR="00963237" w:rsidRPr="00AB4DB2" w14:paraId="1044EA88" w14:textId="77777777" w:rsidTr="00327876">
        <w:trPr>
          <w:trHeight w:val="525"/>
        </w:trPr>
        <w:tc>
          <w:tcPr>
            <w:tcW w:w="1161" w:type="dxa"/>
          </w:tcPr>
          <w:p w14:paraId="6AC90D8C" w14:textId="77777777" w:rsidR="00963237" w:rsidRPr="00AB4DB2" w:rsidRDefault="00963237" w:rsidP="006231B0">
            <w:pPr>
              <w:widowControl/>
              <w:autoSpaceDE/>
              <w:autoSpaceDN/>
              <w:jc w:val="both"/>
              <w:rPr>
                <w:rFonts w:eastAsia="Calibri"/>
              </w:rPr>
            </w:pPr>
            <w:r w:rsidRPr="00AB4DB2">
              <w:rPr>
                <w:rFonts w:eastAsia="Calibri"/>
              </w:rPr>
              <w:t>Number</w:t>
            </w:r>
          </w:p>
        </w:tc>
        <w:tc>
          <w:tcPr>
            <w:tcW w:w="1870" w:type="dxa"/>
          </w:tcPr>
          <w:p w14:paraId="3E19A081" w14:textId="77777777" w:rsidR="00963237" w:rsidRPr="00AB4DB2" w:rsidRDefault="00963237" w:rsidP="006231B0">
            <w:pPr>
              <w:widowControl/>
              <w:autoSpaceDE/>
              <w:autoSpaceDN/>
              <w:jc w:val="both"/>
              <w:rPr>
                <w:rFonts w:eastAsia="Calibri"/>
              </w:rPr>
            </w:pPr>
            <w:r w:rsidRPr="00AB4DB2">
              <w:rPr>
                <w:rFonts w:eastAsia="Calibri"/>
              </w:rPr>
              <w:t>Deliverable</w:t>
            </w:r>
          </w:p>
        </w:tc>
        <w:tc>
          <w:tcPr>
            <w:tcW w:w="4467" w:type="dxa"/>
          </w:tcPr>
          <w:p w14:paraId="782F5D63" w14:textId="77777777" w:rsidR="00963237" w:rsidRPr="00AB4DB2" w:rsidRDefault="00963237" w:rsidP="006231B0">
            <w:pPr>
              <w:widowControl/>
              <w:autoSpaceDE/>
              <w:autoSpaceDN/>
              <w:jc w:val="both"/>
              <w:rPr>
                <w:rFonts w:eastAsia="Calibri"/>
              </w:rPr>
            </w:pPr>
            <w:r w:rsidRPr="00AB4DB2">
              <w:rPr>
                <w:rFonts w:eastAsia="Calibri"/>
              </w:rPr>
              <w:t>Description</w:t>
            </w:r>
          </w:p>
        </w:tc>
        <w:tc>
          <w:tcPr>
            <w:tcW w:w="2420" w:type="dxa"/>
          </w:tcPr>
          <w:p w14:paraId="4C1E87B7" w14:textId="77777777" w:rsidR="00963237" w:rsidRPr="00AB4DB2" w:rsidRDefault="00963237" w:rsidP="006231B0">
            <w:pPr>
              <w:widowControl/>
              <w:autoSpaceDE/>
              <w:autoSpaceDN/>
              <w:jc w:val="both"/>
              <w:rPr>
                <w:rFonts w:eastAsia="Calibri"/>
              </w:rPr>
            </w:pPr>
            <w:r w:rsidRPr="00AB4DB2">
              <w:rPr>
                <w:rFonts w:eastAsia="Calibri"/>
              </w:rPr>
              <w:t>Period of performance</w:t>
            </w:r>
          </w:p>
        </w:tc>
      </w:tr>
      <w:tr w:rsidR="00963237" w:rsidRPr="00AB4DB2" w14:paraId="7058F315" w14:textId="77777777" w:rsidTr="00327876">
        <w:trPr>
          <w:trHeight w:val="525"/>
        </w:trPr>
        <w:tc>
          <w:tcPr>
            <w:tcW w:w="1161" w:type="dxa"/>
          </w:tcPr>
          <w:p w14:paraId="79658C99" w14:textId="77777777" w:rsidR="00963237" w:rsidRPr="00AB4DB2" w:rsidRDefault="00963237" w:rsidP="006231B0">
            <w:pPr>
              <w:widowControl/>
              <w:autoSpaceDE/>
              <w:autoSpaceDN/>
              <w:jc w:val="both"/>
              <w:rPr>
                <w:rFonts w:eastAsia="Calibri"/>
              </w:rPr>
            </w:pPr>
            <w:r w:rsidRPr="00AB4DB2">
              <w:rPr>
                <w:rFonts w:eastAsia="Calibri"/>
              </w:rPr>
              <w:t>D1.</w:t>
            </w:r>
          </w:p>
        </w:tc>
        <w:tc>
          <w:tcPr>
            <w:tcW w:w="1870" w:type="dxa"/>
          </w:tcPr>
          <w:p w14:paraId="47CFB3C1" w14:textId="7BA9C6CD" w:rsidR="00963237" w:rsidRPr="00AB4DB2" w:rsidRDefault="00963237" w:rsidP="006231B0">
            <w:pPr>
              <w:widowControl/>
              <w:autoSpaceDE/>
              <w:autoSpaceDN/>
              <w:jc w:val="both"/>
              <w:rPr>
                <w:rFonts w:eastAsia="Calibri"/>
              </w:rPr>
            </w:pPr>
            <w:r w:rsidRPr="00AB4DB2">
              <w:rPr>
                <w:b/>
                <w:bCs/>
              </w:rPr>
              <w:t>Communication Strategy</w:t>
            </w:r>
            <w:r w:rsidR="00F94D0F" w:rsidRPr="00AB4DB2">
              <w:rPr>
                <w:b/>
                <w:bCs/>
              </w:rPr>
              <w:t xml:space="preserve"> </w:t>
            </w:r>
            <w:proofErr w:type="gramStart"/>
            <w:r w:rsidR="00F94D0F" w:rsidRPr="00AB4DB2">
              <w:rPr>
                <w:b/>
                <w:bCs/>
              </w:rPr>
              <w:t xml:space="preserve">and </w:t>
            </w:r>
            <w:r w:rsidRPr="00AB4DB2">
              <w:rPr>
                <w:b/>
                <w:bCs/>
              </w:rPr>
              <w:t xml:space="preserve"> Action</w:t>
            </w:r>
            <w:proofErr w:type="gramEnd"/>
            <w:r w:rsidRPr="00AB4DB2">
              <w:rPr>
                <w:b/>
                <w:bCs/>
              </w:rPr>
              <w:t xml:space="preserve"> Plan</w:t>
            </w:r>
          </w:p>
        </w:tc>
        <w:tc>
          <w:tcPr>
            <w:tcW w:w="4467" w:type="dxa"/>
          </w:tcPr>
          <w:p w14:paraId="062FDBCB" w14:textId="77777777" w:rsidR="00963237" w:rsidRPr="00AB4DB2" w:rsidRDefault="00963237" w:rsidP="006231B0">
            <w:pPr>
              <w:numPr>
                <w:ilvl w:val="0"/>
                <w:numId w:val="13"/>
              </w:numPr>
              <w:tabs>
                <w:tab w:val="clear" w:pos="720"/>
                <w:tab w:val="num" w:pos="360"/>
              </w:tabs>
              <w:ind w:left="360"/>
            </w:pPr>
            <w:r w:rsidRPr="00AB4DB2">
              <w:t>A comprehensive communication strategy that outlines key messages, target audiences, communication channels, and a timeline of activities.</w:t>
            </w:r>
          </w:p>
          <w:p w14:paraId="750FA4B4" w14:textId="77777777" w:rsidR="00963237" w:rsidRPr="00AB4DB2" w:rsidRDefault="00963237" w:rsidP="006231B0">
            <w:pPr>
              <w:numPr>
                <w:ilvl w:val="0"/>
                <w:numId w:val="13"/>
              </w:numPr>
              <w:tabs>
                <w:tab w:val="clear" w:pos="720"/>
                <w:tab w:val="num" w:pos="360"/>
              </w:tabs>
              <w:ind w:left="360"/>
              <w:jc w:val="both"/>
              <w:rPr>
                <w:rFonts w:eastAsia="Calibri"/>
              </w:rPr>
            </w:pPr>
            <w:r w:rsidRPr="00AB4DB2">
              <w:t>A detailed action plan that includes specific promotional activities, event schedules, social media strategies, and media outreach plans.</w:t>
            </w:r>
          </w:p>
          <w:p w14:paraId="344E9EA6" w14:textId="77777777" w:rsidR="00963237" w:rsidRPr="00AB4DB2" w:rsidRDefault="00963237" w:rsidP="006231B0">
            <w:pPr>
              <w:numPr>
                <w:ilvl w:val="0"/>
                <w:numId w:val="13"/>
              </w:numPr>
              <w:tabs>
                <w:tab w:val="clear" w:pos="720"/>
                <w:tab w:val="num" w:pos="360"/>
              </w:tabs>
              <w:suppressAutoHyphens w:val="0"/>
              <w:spacing w:after="160" w:line="259" w:lineRule="auto"/>
              <w:ind w:left="360"/>
              <w:jc w:val="both"/>
              <w:rPr>
                <w:sz w:val="22"/>
                <w:szCs w:val="22"/>
              </w:rPr>
            </w:pPr>
            <w:r w:rsidRPr="00AB4DB2">
              <w:t xml:space="preserve">Three online </w:t>
            </w:r>
            <w:r w:rsidR="00F94D0F" w:rsidRPr="00AB4DB2">
              <w:t>info</w:t>
            </w:r>
            <w:r w:rsidRPr="00AB4DB2">
              <w:t>graphics (incorporating EU and World Bank visibility guidelines).</w:t>
            </w:r>
          </w:p>
          <w:p w14:paraId="375CE497" w14:textId="27A3B87B" w:rsidR="001A72F0" w:rsidRPr="00AB4DB2" w:rsidRDefault="001A72F0" w:rsidP="006231B0">
            <w:pPr>
              <w:numPr>
                <w:ilvl w:val="0"/>
                <w:numId w:val="13"/>
              </w:numPr>
              <w:tabs>
                <w:tab w:val="clear" w:pos="720"/>
                <w:tab w:val="num" w:pos="360"/>
              </w:tabs>
              <w:suppressAutoHyphens w:val="0"/>
              <w:spacing w:after="160" w:line="259" w:lineRule="auto"/>
              <w:ind w:left="360"/>
              <w:jc w:val="both"/>
              <w:rPr>
                <w:sz w:val="22"/>
                <w:szCs w:val="22"/>
              </w:rPr>
            </w:pPr>
            <w:r w:rsidRPr="00AB4DB2">
              <w:t>Quarterly Progress Reporting</w:t>
            </w:r>
          </w:p>
        </w:tc>
        <w:tc>
          <w:tcPr>
            <w:tcW w:w="2420" w:type="dxa"/>
          </w:tcPr>
          <w:p w14:paraId="01BA40E9" w14:textId="0A16A22D" w:rsidR="00963237" w:rsidRPr="00AB4DB2" w:rsidRDefault="00963237" w:rsidP="006231B0">
            <w:pPr>
              <w:widowControl/>
              <w:autoSpaceDE/>
              <w:autoSpaceDN/>
              <w:jc w:val="both"/>
            </w:pPr>
          </w:p>
          <w:p w14:paraId="6158EC21" w14:textId="7FA8AB4C" w:rsidR="00963237" w:rsidRPr="00AB4DB2" w:rsidRDefault="00963237" w:rsidP="006231B0">
            <w:pPr>
              <w:widowControl/>
              <w:autoSpaceDE/>
              <w:autoSpaceDN/>
              <w:jc w:val="both"/>
              <w:rPr>
                <w:rFonts w:eastAsia="Calibri"/>
              </w:rPr>
            </w:pPr>
            <w:r w:rsidRPr="00AB4DB2">
              <w:t>Within 4 weeks (28 days)</w:t>
            </w:r>
            <w:r w:rsidR="00181B99" w:rsidRPr="00AB4DB2">
              <w:t xml:space="preserve"> </w:t>
            </w:r>
            <w:r w:rsidRPr="00AB4DB2">
              <w:t>of contract signing. Initial promo materials within 6 weeks (42 days) of contract signing, ongoing development as needed throughout the project.</w:t>
            </w:r>
          </w:p>
        </w:tc>
      </w:tr>
      <w:tr w:rsidR="00963237" w:rsidRPr="00AB4DB2" w14:paraId="434DD433" w14:textId="77777777" w:rsidTr="00327876">
        <w:trPr>
          <w:trHeight w:val="525"/>
        </w:trPr>
        <w:tc>
          <w:tcPr>
            <w:tcW w:w="1161" w:type="dxa"/>
          </w:tcPr>
          <w:p w14:paraId="422846C5" w14:textId="77777777" w:rsidR="00963237" w:rsidRPr="00AB4DB2" w:rsidRDefault="00963237" w:rsidP="006231B0">
            <w:pPr>
              <w:widowControl/>
              <w:autoSpaceDE/>
              <w:autoSpaceDN/>
              <w:jc w:val="both"/>
              <w:rPr>
                <w:rFonts w:eastAsia="Calibri"/>
              </w:rPr>
            </w:pPr>
            <w:r w:rsidRPr="00AB4DB2">
              <w:rPr>
                <w:rFonts w:eastAsia="Calibri"/>
              </w:rPr>
              <w:t>D2</w:t>
            </w:r>
          </w:p>
        </w:tc>
        <w:tc>
          <w:tcPr>
            <w:tcW w:w="1870" w:type="dxa"/>
          </w:tcPr>
          <w:p w14:paraId="1E2FD86C" w14:textId="318E0DFF" w:rsidR="00963237" w:rsidRPr="00AB4DB2" w:rsidRDefault="00963237" w:rsidP="006231B0">
            <w:pPr>
              <w:widowControl/>
              <w:autoSpaceDE/>
              <w:autoSpaceDN/>
              <w:jc w:val="both"/>
              <w:rPr>
                <w:rFonts w:eastAsia="Calibri"/>
              </w:rPr>
            </w:pPr>
            <w:r w:rsidRPr="00AB4DB2">
              <w:rPr>
                <w:b/>
                <w:bCs/>
              </w:rPr>
              <w:t>Event Organization; Public Relations and Media Coverage; Social Media Strategy and Digital Campaigns</w:t>
            </w:r>
          </w:p>
        </w:tc>
        <w:tc>
          <w:tcPr>
            <w:tcW w:w="4467" w:type="dxa"/>
          </w:tcPr>
          <w:p w14:paraId="2C8E6D72" w14:textId="77777777" w:rsidR="00963237" w:rsidRPr="00AB4DB2" w:rsidRDefault="00963237" w:rsidP="001A72F0">
            <w:pPr>
              <w:numPr>
                <w:ilvl w:val="0"/>
                <w:numId w:val="14"/>
              </w:numPr>
            </w:pPr>
            <w:r w:rsidRPr="00AB4DB2">
              <w:t>Detailed agendas and plans for each event, and public launch, including lists of participants, speakers, and media invitations.</w:t>
            </w:r>
          </w:p>
          <w:p w14:paraId="6F096974" w14:textId="4C505E3C" w:rsidR="00963237" w:rsidRPr="00AB4DB2" w:rsidRDefault="00963237" w:rsidP="001A72F0">
            <w:pPr>
              <w:numPr>
                <w:ilvl w:val="0"/>
                <w:numId w:val="14"/>
              </w:numPr>
            </w:pPr>
            <w:r w:rsidRPr="00AB4DB2">
              <w:t>Successfully executed 1-day Conference held in B</w:t>
            </w:r>
            <w:r w:rsidR="00F94D0F" w:rsidRPr="00AB4DB2">
              <w:t>elgrade</w:t>
            </w:r>
            <w:r w:rsidRPr="00AB4DB2">
              <w:t xml:space="preserve"> with up to 40 participants, with provided event venue, accompanying AV equipment, catering and moderation. </w:t>
            </w:r>
          </w:p>
          <w:p w14:paraId="571F8C70" w14:textId="143E4AE5" w:rsidR="00963237" w:rsidRPr="00AB4DB2" w:rsidRDefault="00963237" w:rsidP="001A72F0">
            <w:pPr>
              <w:numPr>
                <w:ilvl w:val="0"/>
                <w:numId w:val="14"/>
              </w:numPr>
            </w:pPr>
            <w:r w:rsidRPr="00AB4DB2">
              <w:t xml:space="preserve">Successfully executed </w:t>
            </w:r>
            <w:r w:rsidR="00F94D0F" w:rsidRPr="00AB4DB2">
              <w:t>the first (1/</w:t>
            </w:r>
            <w:r w:rsidRPr="00AB4DB2">
              <w:t>2</w:t>
            </w:r>
            <w:r w:rsidR="00F94D0F" w:rsidRPr="00AB4DB2">
              <w:t>)</w:t>
            </w:r>
            <w:r w:rsidRPr="00AB4DB2">
              <w:t xml:space="preserve"> Public Launch Event together with </w:t>
            </w:r>
            <w:r w:rsidR="00F94D0F" w:rsidRPr="00AB4DB2">
              <w:t>the first (1/2)</w:t>
            </w:r>
            <w:r w:rsidRPr="00AB4DB2">
              <w:t xml:space="preserve"> Media Briefing with up to 30 participants, and up to </w:t>
            </w:r>
            <w:r w:rsidR="00DC4B9A" w:rsidRPr="00AB4DB2">
              <w:t>15 journalists</w:t>
            </w:r>
            <w:r w:rsidRPr="00AB4DB2">
              <w:t xml:space="preserve"> with provided event venue, accompanying AV equipment, catering, moderation and transportation for participants out of the event place of posting.</w:t>
            </w:r>
          </w:p>
          <w:p w14:paraId="705B83EB" w14:textId="06A671FE" w:rsidR="00963237" w:rsidRPr="00AB4DB2" w:rsidRDefault="00963237" w:rsidP="001A72F0">
            <w:pPr>
              <w:numPr>
                <w:ilvl w:val="0"/>
                <w:numId w:val="14"/>
              </w:numPr>
            </w:pPr>
            <w:r w:rsidRPr="00AB4DB2">
              <w:t xml:space="preserve">Press releases, media kits, and outreach plans delivered ahead </w:t>
            </w:r>
            <w:r w:rsidR="00DC4B9A" w:rsidRPr="00AB4DB2">
              <w:t>the 1-day conference and</w:t>
            </w:r>
            <w:r w:rsidRPr="00AB4DB2">
              <w:t xml:space="preserve"> the </w:t>
            </w:r>
            <w:r w:rsidR="00DC4B9A" w:rsidRPr="00AB4DB2">
              <w:t xml:space="preserve">first </w:t>
            </w:r>
            <w:r w:rsidRPr="00AB4DB2">
              <w:t>Public Launch Event.</w:t>
            </w:r>
          </w:p>
          <w:p w14:paraId="01E0C968" w14:textId="7DC9969C" w:rsidR="00963237" w:rsidRPr="00AB4DB2" w:rsidRDefault="00963237" w:rsidP="001A72F0">
            <w:pPr>
              <w:numPr>
                <w:ilvl w:val="0"/>
                <w:numId w:val="14"/>
              </w:numPr>
            </w:pPr>
            <w:r w:rsidRPr="00AB4DB2">
              <w:t xml:space="preserve">A minimum of </w:t>
            </w:r>
            <w:r w:rsidR="00DC4B9A" w:rsidRPr="00AB4DB2">
              <w:t>5</w:t>
            </w:r>
            <w:r w:rsidRPr="00AB4DB2">
              <w:t xml:space="preserve"> media articles or interviews in national and regional outlets covering the project and its achievements.</w:t>
            </w:r>
          </w:p>
          <w:p w14:paraId="279B5826" w14:textId="77777777" w:rsidR="00963237" w:rsidRPr="00AB4DB2" w:rsidRDefault="00963237" w:rsidP="001A72F0">
            <w:pPr>
              <w:numPr>
                <w:ilvl w:val="0"/>
                <w:numId w:val="14"/>
              </w:numPr>
            </w:pPr>
            <w:r w:rsidRPr="00AB4DB2">
              <w:t>A fully developed social media strategy, including platform-specific content plans, posting schedules, and engagement targets.</w:t>
            </w:r>
          </w:p>
          <w:p w14:paraId="0D917A95" w14:textId="77777777" w:rsidR="00963237" w:rsidRPr="00AB4DB2" w:rsidRDefault="00963237" w:rsidP="001A72F0">
            <w:pPr>
              <w:numPr>
                <w:ilvl w:val="0"/>
                <w:numId w:val="14"/>
              </w:numPr>
            </w:pPr>
            <w:r w:rsidRPr="00AB4DB2">
              <w:t xml:space="preserve">Develop content of the posts for Facebook, Twitter/X, LinkedIn, and Instagram – up to 30 posts. </w:t>
            </w:r>
          </w:p>
          <w:p w14:paraId="21186944" w14:textId="60DE66FC" w:rsidR="00963237" w:rsidRPr="00AB4DB2" w:rsidRDefault="00963237" w:rsidP="001A72F0">
            <w:pPr>
              <w:numPr>
                <w:ilvl w:val="0"/>
                <w:numId w:val="14"/>
              </w:numPr>
            </w:pPr>
            <w:r w:rsidRPr="00AB4DB2">
              <w:t xml:space="preserve">Design and develop engaging multimedia content:  </w:t>
            </w:r>
            <w:r w:rsidR="00DC4B9A" w:rsidRPr="00AB4DB2">
              <w:t>the first (1/</w:t>
            </w:r>
            <w:r w:rsidRPr="00AB4DB2">
              <w:t>2</w:t>
            </w:r>
            <w:r w:rsidR="00DC4B9A" w:rsidRPr="00AB4DB2">
              <w:t>)</w:t>
            </w:r>
            <w:r w:rsidRPr="00AB4DB2">
              <w:t xml:space="preserve"> video and </w:t>
            </w:r>
            <w:r w:rsidR="00DC4B9A" w:rsidRPr="00AB4DB2">
              <w:t>the first (1/</w:t>
            </w:r>
            <w:r w:rsidRPr="00AB4DB2">
              <w:t>2</w:t>
            </w:r>
            <w:r w:rsidR="00DC4B9A" w:rsidRPr="00AB4DB2">
              <w:t>)</w:t>
            </w:r>
            <w:r w:rsidRPr="00AB4DB2">
              <w:t xml:space="preserve"> explanatory animation, incorporating EU and World Bank visibility guidelines.</w:t>
            </w:r>
          </w:p>
          <w:p w14:paraId="408B25F4" w14:textId="77777777" w:rsidR="00963237" w:rsidRPr="00AB4DB2" w:rsidRDefault="00963237" w:rsidP="001A72F0">
            <w:pPr>
              <w:numPr>
                <w:ilvl w:val="0"/>
                <w:numId w:val="14"/>
              </w:numPr>
            </w:pPr>
            <w:r w:rsidRPr="00AB4DB2">
              <w:t>Run targeted one digital campaign with paid advertisements to raise awareness about the project, its impact on the business environment, and the support from the EU and the World Bank.</w:t>
            </w:r>
          </w:p>
          <w:p w14:paraId="5A1B42EF" w14:textId="6C72865F" w:rsidR="001A72F0" w:rsidRPr="00AB4DB2" w:rsidRDefault="00963237" w:rsidP="00327876">
            <w:pPr>
              <w:numPr>
                <w:ilvl w:val="0"/>
                <w:numId w:val="14"/>
              </w:numPr>
              <w:rPr>
                <w:sz w:val="22"/>
                <w:szCs w:val="22"/>
              </w:rPr>
            </w:pPr>
            <w:r w:rsidRPr="00AB4DB2">
              <w:t>Monthly social media performance reports detailing key metrics such as reach, engagement, follower growth, and content performance.</w:t>
            </w:r>
          </w:p>
          <w:p w14:paraId="353BC9B9" w14:textId="62E3A3FD" w:rsidR="001A72F0" w:rsidRPr="00AB4DB2" w:rsidRDefault="001A72F0" w:rsidP="001A72F0">
            <w:pPr>
              <w:numPr>
                <w:ilvl w:val="0"/>
                <w:numId w:val="14"/>
              </w:numPr>
              <w:rPr>
                <w:sz w:val="22"/>
                <w:szCs w:val="22"/>
              </w:rPr>
            </w:pPr>
            <w:r w:rsidRPr="00AB4DB2">
              <w:t>Quarterly Progress Reporting</w:t>
            </w:r>
          </w:p>
        </w:tc>
        <w:tc>
          <w:tcPr>
            <w:tcW w:w="2420" w:type="dxa"/>
          </w:tcPr>
          <w:p w14:paraId="51B68E01" w14:textId="21583C3E" w:rsidR="00963237" w:rsidRPr="00AB4DB2" w:rsidRDefault="00963237" w:rsidP="006231B0">
            <w:pPr>
              <w:widowControl/>
              <w:autoSpaceDE/>
              <w:autoSpaceDN/>
              <w:jc w:val="both"/>
            </w:pPr>
          </w:p>
          <w:p w14:paraId="128173A1" w14:textId="7AC64427" w:rsidR="0018449B" w:rsidRPr="00AB4DB2" w:rsidRDefault="00F83FD1" w:rsidP="006231B0">
            <w:pPr>
              <w:widowControl/>
              <w:autoSpaceDE/>
              <w:autoSpaceDN/>
              <w:jc w:val="both"/>
            </w:pPr>
            <w:r>
              <w:t xml:space="preserve">Up to </w:t>
            </w:r>
            <w:r w:rsidR="0018449B" w:rsidRPr="00AB4DB2">
              <w:t xml:space="preserve">6 months after signing the contract. </w:t>
            </w:r>
          </w:p>
          <w:p w14:paraId="6372A75C" w14:textId="01C28208" w:rsidR="00963237" w:rsidRPr="00AB4DB2" w:rsidRDefault="00963237" w:rsidP="006231B0">
            <w:pPr>
              <w:widowControl/>
              <w:autoSpaceDE/>
              <w:autoSpaceDN/>
              <w:jc w:val="both"/>
              <w:rPr>
                <w:rFonts w:eastAsia="Calibri"/>
              </w:rPr>
            </w:pPr>
          </w:p>
        </w:tc>
      </w:tr>
      <w:tr w:rsidR="00963237" w:rsidRPr="00AB4DB2" w14:paraId="606375C5" w14:textId="77777777" w:rsidTr="00327876">
        <w:trPr>
          <w:trHeight w:val="525"/>
        </w:trPr>
        <w:tc>
          <w:tcPr>
            <w:tcW w:w="1161" w:type="dxa"/>
          </w:tcPr>
          <w:p w14:paraId="3D7998AA" w14:textId="77777777" w:rsidR="00963237" w:rsidRPr="00AB4DB2" w:rsidRDefault="00963237" w:rsidP="006231B0">
            <w:pPr>
              <w:widowControl/>
              <w:autoSpaceDE/>
              <w:autoSpaceDN/>
              <w:jc w:val="both"/>
              <w:rPr>
                <w:rFonts w:eastAsia="Calibri"/>
              </w:rPr>
            </w:pPr>
            <w:r w:rsidRPr="00AB4DB2">
              <w:rPr>
                <w:rFonts w:eastAsia="Calibri"/>
              </w:rPr>
              <w:t>D3</w:t>
            </w:r>
          </w:p>
        </w:tc>
        <w:tc>
          <w:tcPr>
            <w:tcW w:w="1870" w:type="dxa"/>
          </w:tcPr>
          <w:p w14:paraId="7CE2890C" w14:textId="77777777" w:rsidR="00963237" w:rsidRPr="00AB4DB2" w:rsidRDefault="00963237" w:rsidP="006231B0">
            <w:pPr>
              <w:widowControl/>
              <w:autoSpaceDE/>
              <w:autoSpaceDN/>
              <w:jc w:val="both"/>
              <w:rPr>
                <w:rFonts w:eastAsia="Calibri"/>
              </w:rPr>
            </w:pPr>
            <w:r w:rsidRPr="00AB4DB2">
              <w:rPr>
                <w:b/>
                <w:bCs/>
              </w:rPr>
              <w:t>Media Monitoring and Reporting and Stakeholder Engagement Reports</w:t>
            </w:r>
          </w:p>
        </w:tc>
        <w:tc>
          <w:tcPr>
            <w:tcW w:w="4467" w:type="dxa"/>
          </w:tcPr>
          <w:p w14:paraId="19B082A7" w14:textId="70E0EF2A" w:rsidR="00963237" w:rsidRPr="00AB4DB2" w:rsidRDefault="00A726C9" w:rsidP="006231B0">
            <w:pPr>
              <w:numPr>
                <w:ilvl w:val="0"/>
                <w:numId w:val="19"/>
              </w:numPr>
              <w:tabs>
                <w:tab w:val="clear" w:pos="720"/>
                <w:tab w:val="num" w:pos="360"/>
              </w:tabs>
              <w:ind w:left="360"/>
            </w:pPr>
            <w:r>
              <w:t>Quarterly</w:t>
            </w:r>
            <w:r w:rsidRPr="00AB4DB2">
              <w:t xml:space="preserve"> </w:t>
            </w:r>
            <w:r w:rsidR="00963237" w:rsidRPr="00AB4DB2">
              <w:t>media monitoring reports that track all coverage of the project, including both traditional and digital media.</w:t>
            </w:r>
          </w:p>
          <w:p w14:paraId="23910CB9" w14:textId="77777777" w:rsidR="00963237" w:rsidRPr="00AB4DB2" w:rsidRDefault="00963237" w:rsidP="006231B0">
            <w:pPr>
              <w:numPr>
                <w:ilvl w:val="0"/>
                <w:numId w:val="19"/>
              </w:numPr>
              <w:tabs>
                <w:tab w:val="clear" w:pos="720"/>
                <w:tab w:val="num" w:pos="360"/>
              </w:tabs>
              <w:ind w:left="360"/>
            </w:pPr>
            <w:r w:rsidRPr="00AB4DB2">
              <w:t>Analysis of media impact and recommendations for enhancing media engagement.</w:t>
            </w:r>
          </w:p>
          <w:p w14:paraId="1410AB48" w14:textId="77777777" w:rsidR="00963237" w:rsidRPr="00AB4DB2" w:rsidRDefault="00963237" w:rsidP="006231B0">
            <w:pPr>
              <w:numPr>
                <w:ilvl w:val="0"/>
                <w:numId w:val="19"/>
              </w:numPr>
              <w:tabs>
                <w:tab w:val="clear" w:pos="720"/>
                <w:tab w:val="num" w:pos="360"/>
              </w:tabs>
              <w:ind w:left="360"/>
            </w:pPr>
            <w:r w:rsidRPr="00AB4DB2">
              <w:t>Analysis of the public’s understanding and perception of the digitalization efforts, based on collected stakeholders’ feedback (incorporated into monthly and quarterly reports).</w:t>
            </w:r>
          </w:p>
          <w:p w14:paraId="0EA1D6B3" w14:textId="3BE49B2C" w:rsidR="001A72F0" w:rsidRPr="00AB4DB2" w:rsidRDefault="001A72F0" w:rsidP="006231B0">
            <w:pPr>
              <w:numPr>
                <w:ilvl w:val="0"/>
                <w:numId w:val="19"/>
              </w:numPr>
              <w:tabs>
                <w:tab w:val="clear" w:pos="720"/>
                <w:tab w:val="num" w:pos="360"/>
              </w:tabs>
              <w:ind w:left="360"/>
            </w:pPr>
            <w:r w:rsidRPr="00AB4DB2">
              <w:t>Quarterly Progress Reporting</w:t>
            </w:r>
          </w:p>
        </w:tc>
        <w:tc>
          <w:tcPr>
            <w:tcW w:w="2420" w:type="dxa"/>
          </w:tcPr>
          <w:p w14:paraId="71B63B0F" w14:textId="510BCA39" w:rsidR="00963237" w:rsidRPr="00AB4DB2" w:rsidRDefault="00963237" w:rsidP="006231B0"/>
          <w:p w14:paraId="62A6E002" w14:textId="00441A91" w:rsidR="0018449B" w:rsidRPr="00AB4DB2" w:rsidRDefault="00A726C9" w:rsidP="0018449B">
            <w:pPr>
              <w:widowControl/>
              <w:autoSpaceDE/>
              <w:autoSpaceDN/>
              <w:jc w:val="both"/>
            </w:pPr>
            <w:r>
              <w:t>8</w:t>
            </w:r>
            <w:r w:rsidRPr="00AB4DB2">
              <w:t xml:space="preserve"> </w:t>
            </w:r>
            <w:r w:rsidR="0018449B" w:rsidRPr="00AB4DB2">
              <w:t xml:space="preserve">months after signing the contract. </w:t>
            </w:r>
          </w:p>
          <w:p w14:paraId="091A74F0" w14:textId="77777777" w:rsidR="00963237" w:rsidRPr="00AB4DB2" w:rsidRDefault="00963237" w:rsidP="00403F6E">
            <w:pPr>
              <w:rPr>
                <w:rFonts w:eastAsia="Calibri"/>
              </w:rPr>
            </w:pPr>
          </w:p>
        </w:tc>
      </w:tr>
      <w:tr w:rsidR="00F94D0F" w:rsidRPr="00AB4DB2" w14:paraId="2FFACD71" w14:textId="77777777" w:rsidTr="00327876">
        <w:trPr>
          <w:trHeight w:val="525"/>
        </w:trPr>
        <w:tc>
          <w:tcPr>
            <w:tcW w:w="1161" w:type="dxa"/>
          </w:tcPr>
          <w:p w14:paraId="4B43C2B0" w14:textId="73904213" w:rsidR="00F94D0F" w:rsidRPr="00AB4DB2" w:rsidRDefault="00F94D0F" w:rsidP="006231B0">
            <w:pPr>
              <w:jc w:val="both"/>
              <w:rPr>
                <w:rFonts w:eastAsia="Calibri"/>
              </w:rPr>
            </w:pPr>
            <w:r w:rsidRPr="00AB4DB2">
              <w:rPr>
                <w:rFonts w:eastAsia="Calibri"/>
              </w:rPr>
              <w:t>D4</w:t>
            </w:r>
          </w:p>
        </w:tc>
        <w:tc>
          <w:tcPr>
            <w:tcW w:w="1870" w:type="dxa"/>
          </w:tcPr>
          <w:p w14:paraId="0190BFC5" w14:textId="6C973AAE" w:rsidR="00F94D0F" w:rsidRPr="00AB4DB2" w:rsidRDefault="00DC4B9A" w:rsidP="006231B0">
            <w:pPr>
              <w:jc w:val="both"/>
              <w:rPr>
                <w:b/>
                <w:bCs/>
              </w:rPr>
            </w:pPr>
            <w:r w:rsidRPr="00AB4DB2">
              <w:rPr>
                <w:b/>
                <w:bCs/>
              </w:rPr>
              <w:t>Event Organization; Public Relations and Media Coverage; Digital Campaigns</w:t>
            </w:r>
          </w:p>
        </w:tc>
        <w:tc>
          <w:tcPr>
            <w:tcW w:w="4467" w:type="dxa"/>
          </w:tcPr>
          <w:p w14:paraId="40C7F04A" w14:textId="033E9F8B" w:rsidR="00F94D0F" w:rsidRPr="00AB4DB2" w:rsidRDefault="00F94D0F" w:rsidP="00F94D0F">
            <w:pPr>
              <w:numPr>
                <w:ilvl w:val="0"/>
                <w:numId w:val="19"/>
              </w:numPr>
            </w:pPr>
            <w:r w:rsidRPr="00AB4DB2">
              <w:t xml:space="preserve">Successfully execute second (2/2) Public Launch Event together with the second (2/2) Media Briefing with up to 30 participants, and up to </w:t>
            </w:r>
            <w:r w:rsidR="00DC4B9A" w:rsidRPr="00AB4DB2">
              <w:t>15 journalists</w:t>
            </w:r>
            <w:r w:rsidRPr="00AB4DB2">
              <w:t xml:space="preserve"> with provided event venue, accompanying AV equipment, catering, moderation and transportation for participants out of the event place of posting.</w:t>
            </w:r>
          </w:p>
          <w:p w14:paraId="515A1A21" w14:textId="0D66291D" w:rsidR="00F94D0F" w:rsidRPr="00AB4DB2" w:rsidRDefault="00F94D0F" w:rsidP="00F94D0F">
            <w:pPr>
              <w:numPr>
                <w:ilvl w:val="0"/>
                <w:numId w:val="19"/>
              </w:numPr>
            </w:pPr>
            <w:r w:rsidRPr="00AB4DB2">
              <w:t>Press releases, media kits, and outreach plans for the Public Launch Event.</w:t>
            </w:r>
          </w:p>
          <w:p w14:paraId="08A93643" w14:textId="37B268F7" w:rsidR="00F94D0F" w:rsidRPr="00AB4DB2" w:rsidRDefault="00F94D0F" w:rsidP="00F94D0F">
            <w:pPr>
              <w:numPr>
                <w:ilvl w:val="0"/>
                <w:numId w:val="19"/>
              </w:numPr>
            </w:pPr>
            <w:r w:rsidRPr="00AB4DB2">
              <w:t>A minimum of 5 media articles or interviews in national and regional outlets covering the project and its achievements.</w:t>
            </w:r>
          </w:p>
          <w:p w14:paraId="58BFD55E" w14:textId="5D84F32F" w:rsidR="00F94D0F" w:rsidRPr="00AB4DB2" w:rsidRDefault="00F94D0F" w:rsidP="00F94D0F">
            <w:pPr>
              <w:numPr>
                <w:ilvl w:val="0"/>
                <w:numId w:val="19"/>
              </w:numPr>
            </w:pPr>
            <w:r w:rsidRPr="00AB4DB2">
              <w:t xml:space="preserve">Develop content of the posts for Facebook, Twitter/X, LinkedIn, and Instagram – up to 15 posts for the second half of the assignment. </w:t>
            </w:r>
          </w:p>
          <w:p w14:paraId="015441A5" w14:textId="17E797EE" w:rsidR="00DC4B9A" w:rsidRPr="00AB4DB2" w:rsidRDefault="00DC4B9A" w:rsidP="00F94D0F">
            <w:pPr>
              <w:numPr>
                <w:ilvl w:val="0"/>
                <w:numId w:val="19"/>
              </w:numPr>
            </w:pPr>
            <w:r w:rsidRPr="00AB4DB2">
              <w:t>Design and develop engaging multimedia content:  the second (2/2) video and second (2/2) explanatory animation</w:t>
            </w:r>
          </w:p>
          <w:p w14:paraId="316B1C82" w14:textId="77777777" w:rsidR="00F94D0F" w:rsidRPr="00AB4DB2" w:rsidRDefault="00F94D0F" w:rsidP="00F94D0F">
            <w:pPr>
              <w:numPr>
                <w:ilvl w:val="0"/>
                <w:numId w:val="19"/>
              </w:numPr>
            </w:pPr>
            <w:r w:rsidRPr="00AB4DB2">
              <w:t>Run targeted one digital campaign with paid advertisements to raise awareness about the project, its impact on the business environment, and the support from the EU and the World Bank.</w:t>
            </w:r>
          </w:p>
          <w:p w14:paraId="338B534B" w14:textId="77777777" w:rsidR="00F94D0F" w:rsidRPr="00AB4DB2" w:rsidRDefault="00F94D0F" w:rsidP="00F94D0F">
            <w:pPr>
              <w:numPr>
                <w:ilvl w:val="0"/>
                <w:numId w:val="19"/>
              </w:numPr>
            </w:pPr>
            <w:r w:rsidRPr="00AB4DB2">
              <w:t>Monthly social media performance reports detailing key metrics such as reach, engagement, follower growth, and content performance.</w:t>
            </w:r>
          </w:p>
          <w:p w14:paraId="2919A4A9" w14:textId="4C40A34A" w:rsidR="001A72F0" w:rsidRPr="00AB4DB2" w:rsidRDefault="001A72F0" w:rsidP="00F94D0F">
            <w:pPr>
              <w:numPr>
                <w:ilvl w:val="0"/>
                <w:numId w:val="19"/>
              </w:numPr>
            </w:pPr>
            <w:r w:rsidRPr="00AB4DB2">
              <w:t>Quarterly Progress Reporting</w:t>
            </w:r>
          </w:p>
        </w:tc>
        <w:tc>
          <w:tcPr>
            <w:tcW w:w="2420" w:type="dxa"/>
          </w:tcPr>
          <w:p w14:paraId="71957413" w14:textId="4C59D349" w:rsidR="00F94D0F" w:rsidRPr="00AB4DB2" w:rsidRDefault="00F94D0F" w:rsidP="006231B0"/>
          <w:p w14:paraId="0EA1E67D" w14:textId="6CCE854A" w:rsidR="0018449B" w:rsidRPr="00AB4DB2" w:rsidRDefault="00A726C9" w:rsidP="0018449B">
            <w:pPr>
              <w:widowControl/>
              <w:autoSpaceDE/>
              <w:autoSpaceDN/>
              <w:jc w:val="both"/>
            </w:pPr>
            <w:r>
              <w:t xml:space="preserve">Up to </w:t>
            </w:r>
            <w:r w:rsidR="0018449B" w:rsidRPr="00AB4DB2">
              <w:t xml:space="preserve">12 months after signing the contract. </w:t>
            </w:r>
          </w:p>
          <w:p w14:paraId="57CEB4CC" w14:textId="2CA28357" w:rsidR="0018449B" w:rsidRPr="00AB4DB2" w:rsidRDefault="0018449B" w:rsidP="006231B0"/>
        </w:tc>
      </w:tr>
      <w:tr w:rsidR="00963237" w:rsidRPr="00AB4DB2" w14:paraId="5B61B5F3" w14:textId="77777777" w:rsidTr="00327876">
        <w:trPr>
          <w:trHeight w:val="492"/>
        </w:trPr>
        <w:tc>
          <w:tcPr>
            <w:tcW w:w="1161" w:type="dxa"/>
          </w:tcPr>
          <w:p w14:paraId="712B0264" w14:textId="18D3BE03" w:rsidR="00963237" w:rsidRPr="00AB4DB2" w:rsidRDefault="00963237" w:rsidP="006231B0">
            <w:pPr>
              <w:jc w:val="both"/>
              <w:rPr>
                <w:rFonts w:eastAsia="Calibri"/>
              </w:rPr>
            </w:pPr>
            <w:r w:rsidRPr="00AB4DB2">
              <w:rPr>
                <w:rFonts w:eastAsia="Calibri"/>
              </w:rPr>
              <w:t>D</w:t>
            </w:r>
            <w:r w:rsidR="00DC4B9A" w:rsidRPr="00AB4DB2">
              <w:rPr>
                <w:rFonts w:eastAsia="Calibri"/>
              </w:rPr>
              <w:t>5</w:t>
            </w:r>
          </w:p>
        </w:tc>
        <w:tc>
          <w:tcPr>
            <w:tcW w:w="1870" w:type="dxa"/>
          </w:tcPr>
          <w:p w14:paraId="1A07981D" w14:textId="77777777" w:rsidR="00963237" w:rsidRPr="00AB4DB2" w:rsidRDefault="00963237" w:rsidP="006231B0">
            <w:pPr>
              <w:jc w:val="both"/>
              <w:rPr>
                <w:b/>
                <w:bCs/>
              </w:rPr>
            </w:pPr>
            <w:r w:rsidRPr="00AB4DB2">
              <w:rPr>
                <w:b/>
                <w:bCs/>
              </w:rPr>
              <w:t>Training and Knowledge Transfer</w:t>
            </w:r>
          </w:p>
        </w:tc>
        <w:tc>
          <w:tcPr>
            <w:tcW w:w="4467" w:type="dxa"/>
          </w:tcPr>
          <w:p w14:paraId="306345A9" w14:textId="77777777" w:rsidR="00963237" w:rsidRPr="00AB4DB2" w:rsidRDefault="00963237" w:rsidP="006231B0">
            <w:pPr>
              <w:numPr>
                <w:ilvl w:val="0"/>
                <w:numId w:val="21"/>
              </w:numPr>
            </w:pPr>
            <w:r w:rsidRPr="00AB4DB2">
              <w:t>Delivery of one training sessions in duration of one day per session for PIU staff (up to 10 participants) on managing social media, media relations, and event planning, with provided event venue, and catering.</w:t>
            </w:r>
          </w:p>
          <w:p w14:paraId="596FAAF6" w14:textId="77777777" w:rsidR="00963237" w:rsidRPr="00AB4DB2" w:rsidRDefault="00963237" w:rsidP="006231B0">
            <w:pPr>
              <w:numPr>
                <w:ilvl w:val="0"/>
                <w:numId w:val="21"/>
              </w:numPr>
            </w:pPr>
            <w:r w:rsidRPr="00AB4DB2">
              <w:t>Comprehensive handover of communication tools, plans, and documentation to ensure the sustainability of visibility activities.</w:t>
            </w:r>
          </w:p>
          <w:p w14:paraId="6B7435EA" w14:textId="175BCE8D" w:rsidR="001A72F0" w:rsidRPr="00AB4DB2" w:rsidRDefault="001A72F0" w:rsidP="006231B0">
            <w:pPr>
              <w:numPr>
                <w:ilvl w:val="0"/>
                <w:numId w:val="21"/>
              </w:numPr>
            </w:pPr>
            <w:r w:rsidRPr="00AB4DB2">
              <w:t>Quarterly Progress Reporting</w:t>
            </w:r>
          </w:p>
        </w:tc>
        <w:tc>
          <w:tcPr>
            <w:tcW w:w="2420" w:type="dxa"/>
          </w:tcPr>
          <w:p w14:paraId="5047CC32" w14:textId="03B3EE59" w:rsidR="00963237" w:rsidRPr="00AB4DB2" w:rsidRDefault="00963237" w:rsidP="006231B0">
            <w:pPr>
              <w:jc w:val="both"/>
            </w:pPr>
            <w:r w:rsidRPr="00AB4DB2">
              <w:t xml:space="preserve">Training to be completed </w:t>
            </w:r>
            <w:r w:rsidR="00A726C9">
              <w:t>not later than month</w:t>
            </w:r>
            <w:r w:rsidR="00A726C9" w:rsidRPr="00AB4DB2">
              <w:t xml:space="preserve"> 1</w:t>
            </w:r>
            <w:r w:rsidR="00A726C9">
              <w:t>0</w:t>
            </w:r>
            <w:r w:rsidR="00A726C9" w:rsidRPr="00AB4DB2">
              <w:t xml:space="preserve"> </w:t>
            </w:r>
            <w:r w:rsidR="00AA3A0A">
              <w:t xml:space="preserve">following </w:t>
            </w:r>
            <w:r w:rsidR="0018449B" w:rsidRPr="00AB4DB2">
              <w:t xml:space="preserve">signing </w:t>
            </w:r>
            <w:r w:rsidR="00A726C9">
              <w:t xml:space="preserve">of </w:t>
            </w:r>
            <w:r w:rsidR="0018449B" w:rsidRPr="00AB4DB2">
              <w:t>the contract.</w:t>
            </w:r>
          </w:p>
        </w:tc>
      </w:tr>
      <w:tr w:rsidR="00963237" w:rsidRPr="00AB4DB2" w14:paraId="4CC5542B" w14:textId="77777777" w:rsidTr="00327876">
        <w:trPr>
          <w:trHeight w:val="492"/>
        </w:trPr>
        <w:tc>
          <w:tcPr>
            <w:tcW w:w="1161" w:type="dxa"/>
          </w:tcPr>
          <w:p w14:paraId="334E499E" w14:textId="07A612D7" w:rsidR="00963237" w:rsidRPr="00AB4DB2" w:rsidRDefault="00963237" w:rsidP="006231B0">
            <w:pPr>
              <w:widowControl/>
              <w:autoSpaceDE/>
              <w:autoSpaceDN/>
              <w:jc w:val="both"/>
              <w:rPr>
                <w:rFonts w:eastAsia="Calibri"/>
              </w:rPr>
            </w:pPr>
            <w:r w:rsidRPr="00AB4DB2">
              <w:rPr>
                <w:rFonts w:eastAsia="Calibri"/>
              </w:rPr>
              <w:t>D</w:t>
            </w:r>
            <w:r w:rsidR="00DC4B9A" w:rsidRPr="00AB4DB2">
              <w:rPr>
                <w:rFonts w:eastAsia="Calibri"/>
              </w:rPr>
              <w:t>6</w:t>
            </w:r>
          </w:p>
        </w:tc>
        <w:tc>
          <w:tcPr>
            <w:tcW w:w="1870" w:type="dxa"/>
          </w:tcPr>
          <w:p w14:paraId="5D6AF036" w14:textId="7F4E071F" w:rsidR="00963237" w:rsidRPr="00AB4DB2" w:rsidRDefault="00963237" w:rsidP="006231B0">
            <w:pPr>
              <w:widowControl/>
              <w:autoSpaceDE/>
              <w:autoSpaceDN/>
              <w:jc w:val="both"/>
              <w:rPr>
                <w:rFonts w:eastAsia="Calibri"/>
              </w:rPr>
            </w:pPr>
            <w:r w:rsidRPr="00AB4DB2">
              <w:rPr>
                <w:b/>
                <w:bCs/>
              </w:rPr>
              <w:t>Final Report</w:t>
            </w:r>
          </w:p>
        </w:tc>
        <w:tc>
          <w:tcPr>
            <w:tcW w:w="4467" w:type="dxa"/>
          </w:tcPr>
          <w:p w14:paraId="6A8E4233" w14:textId="1EBBEFEC" w:rsidR="00963237" w:rsidRPr="00AB4DB2" w:rsidRDefault="00963237" w:rsidP="00AC4C59">
            <w:pPr>
              <w:pStyle w:val="ListParagraph"/>
              <w:numPr>
                <w:ilvl w:val="0"/>
                <w:numId w:val="21"/>
              </w:numPr>
              <w:suppressAutoHyphens w:val="0"/>
              <w:spacing w:before="0" w:beforeAutospacing="0"/>
            </w:pPr>
            <w:r w:rsidRPr="00AB4DB2">
              <w:t xml:space="preserve">A comprehensive </w:t>
            </w:r>
            <w:r w:rsidRPr="00AB4DB2">
              <w:rPr>
                <w:b/>
                <w:bCs/>
              </w:rPr>
              <w:t>final</w:t>
            </w:r>
            <w:r w:rsidRPr="00AB4DB2">
              <w:t xml:space="preserve"> report</w:t>
            </w:r>
            <w:r w:rsidR="001A72F0" w:rsidRPr="00AB4DB2">
              <w:t>, including Quarterly Progress Reporting for the final quarter,</w:t>
            </w:r>
            <w:r w:rsidRPr="00AB4DB2">
              <w:t xml:space="preserve"> summarizing all visibility and promotion activities carried out during the assignment.</w:t>
            </w:r>
          </w:p>
          <w:p w14:paraId="6E8E7EA8" w14:textId="30D12FDB" w:rsidR="001D76D9" w:rsidRPr="00AB4DB2" w:rsidRDefault="00963237" w:rsidP="001A72F0">
            <w:pPr>
              <w:numPr>
                <w:ilvl w:val="0"/>
                <w:numId w:val="21"/>
              </w:numPr>
              <w:rPr>
                <w:rFonts w:eastAsia="Calibri"/>
              </w:rPr>
            </w:pPr>
            <w:r w:rsidRPr="00AB4DB2">
              <w:t>This report should include an assessment of the overall impact, media reach, stakeholder engagement, and recommendations for future promotion efforts.</w:t>
            </w:r>
          </w:p>
        </w:tc>
        <w:tc>
          <w:tcPr>
            <w:tcW w:w="2420" w:type="dxa"/>
          </w:tcPr>
          <w:p w14:paraId="34FF72E8" w14:textId="2CACC1FF" w:rsidR="0018449B" w:rsidRPr="00AB4DB2" w:rsidRDefault="00A726C9" w:rsidP="0018449B">
            <w:pPr>
              <w:widowControl/>
              <w:autoSpaceDE/>
              <w:autoSpaceDN/>
              <w:jc w:val="both"/>
            </w:pPr>
            <w:r>
              <w:t xml:space="preserve">Up to </w:t>
            </w:r>
            <w:r w:rsidRPr="00AB4DB2">
              <w:t>1</w:t>
            </w:r>
            <w:r w:rsidR="00FA5AF8">
              <w:t>2</w:t>
            </w:r>
            <w:r w:rsidRPr="00AB4DB2">
              <w:t xml:space="preserve"> </w:t>
            </w:r>
            <w:r w:rsidR="0018449B" w:rsidRPr="00AB4DB2">
              <w:t>months after signing the contract</w:t>
            </w:r>
            <w:r>
              <w:t>, but not later than one month before the Project closing date</w:t>
            </w:r>
            <w:r w:rsidR="0018449B" w:rsidRPr="00AB4DB2">
              <w:t xml:space="preserve">. </w:t>
            </w:r>
          </w:p>
          <w:p w14:paraId="25CB33A5" w14:textId="1D7655CF" w:rsidR="00963237" w:rsidRPr="00AB4DB2" w:rsidRDefault="00963237" w:rsidP="006231B0">
            <w:pPr>
              <w:widowControl/>
              <w:autoSpaceDE/>
              <w:autoSpaceDN/>
              <w:jc w:val="both"/>
              <w:rPr>
                <w:rFonts w:eastAsia="Calibri"/>
              </w:rPr>
            </w:pPr>
          </w:p>
        </w:tc>
      </w:tr>
    </w:tbl>
    <w:p w14:paraId="4D484132" w14:textId="0FCDB544" w:rsidR="00987185" w:rsidRPr="00AB4DB2" w:rsidRDefault="00987185" w:rsidP="00B55CF2">
      <w:pPr>
        <w:jc w:val="both"/>
        <w:rPr>
          <w:rFonts w:eastAsia="Calibri"/>
        </w:rPr>
      </w:pPr>
    </w:p>
    <w:p w14:paraId="0143BCC9" w14:textId="077C795B" w:rsidR="009B70B0" w:rsidRPr="00AB4DB2" w:rsidRDefault="00C25423" w:rsidP="00B55CF2">
      <w:pPr>
        <w:jc w:val="both"/>
        <w:rPr>
          <w:rFonts w:eastAsia="Calibri"/>
        </w:rPr>
      </w:pPr>
      <w:r w:rsidRPr="00AB4DB2">
        <w:rPr>
          <w:rFonts w:eastAsia="Calibri"/>
        </w:rPr>
        <w:t>The selected Consultant shall be paid the lump sum contract amount linked to the defined deliverables.</w:t>
      </w:r>
    </w:p>
    <w:p w14:paraId="37C9B972" w14:textId="30F6F60A" w:rsidR="00987185" w:rsidRPr="00AB4DB2" w:rsidRDefault="00987185" w:rsidP="00B55CF2">
      <w:pPr>
        <w:jc w:val="both"/>
        <w:rPr>
          <w:rFonts w:eastAsia="Calibri"/>
        </w:rPr>
      </w:pPr>
    </w:p>
    <w:p w14:paraId="0D49A365" w14:textId="0EED3D79" w:rsidR="00987185" w:rsidRPr="00AB4DB2" w:rsidRDefault="00987185" w:rsidP="00B55CF2">
      <w:pPr>
        <w:jc w:val="both"/>
        <w:rPr>
          <w:rFonts w:eastAsia="Calibri"/>
        </w:rPr>
      </w:pPr>
    </w:p>
    <w:p w14:paraId="3E5BF49E" w14:textId="77777777" w:rsidR="00987185" w:rsidRPr="00AB4DB2" w:rsidRDefault="00987185" w:rsidP="00B55CF2">
      <w:pPr>
        <w:jc w:val="both"/>
        <w:rPr>
          <w:rFonts w:eastAsia="Calibri"/>
        </w:rPr>
      </w:pPr>
    </w:p>
    <w:p w14:paraId="3426AA66" w14:textId="77777777" w:rsidR="00A84403" w:rsidRPr="00AB4DB2" w:rsidRDefault="00A84403" w:rsidP="00327876">
      <w:pPr>
        <w:jc w:val="both"/>
        <w:rPr>
          <w:b/>
          <w:bCs/>
        </w:rPr>
      </w:pPr>
      <w:bookmarkStart w:id="3" w:name="_Ref177455502"/>
      <w:r w:rsidRPr="00AB4DB2">
        <w:rPr>
          <w:b/>
          <w:bCs/>
        </w:rPr>
        <w:t>Location and timing</w:t>
      </w:r>
      <w:bookmarkEnd w:id="3"/>
    </w:p>
    <w:p w14:paraId="4A63D3E2" w14:textId="6908DF0D" w:rsidR="00A84403" w:rsidRPr="00AB4DB2" w:rsidRDefault="00A84403" w:rsidP="00A84403">
      <w:pPr>
        <w:pStyle w:val="Text"/>
      </w:pPr>
      <w:r w:rsidRPr="00AB4DB2">
        <w:t xml:space="preserve">The Consultant is expected to work from their own office and to provide all necessary equipment to perform the services, while all meetings and events must be carried out in the Republic of Serbia. Only local travel is expected for meetings and workshops with </w:t>
      </w:r>
      <w:r w:rsidR="001B5108" w:rsidRPr="00AB4DB2">
        <w:t xml:space="preserve">Client </w:t>
      </w:r>
      <w:r w:rsidRPr="00AB4DB2">
        <w:t xml:space="preserve">(Office in Belgrade), and associated cost should be covered by the Consultant. </w:t>
      </w:r>
      <w:r w:rsidR="009D1A28" w:rsidRPr="00AB4DB2">
        <w:t>Virtual meetings may be conducted with stakeholders as necessary; however, physical presence will be required for major project events, workshops, and media engagements.</w:t>
      </w:r>
    </w:p>
    <w:p w14:paraId="2FC5F6C5" w14:textId="7ECF8AF7" w:rsidR="00176A22" w:rsidRPr="00AB4DB2" w:rsidRDefault="00176A22" w:rsidP="00A84403">
      <w:pPr>
        <w:pStyle w:val="Text"/>
      </w:pPr>
      <w:r w:rsidRPr="00AB4DB2">
        <w:t xml:space="preserve">The planned workshops will be held in the premises of the PPS. All of the expenses of logistics, including potential refreshment and printing expenses will be carried by the </w:t>
      </w:r>
      <w:r w:rsidR="00781A65" w:rsidRPr="00AB4DB2">
        <w:t>Consultant</w:t>
      </w:r>
      <w:r w:rsidRPr="00AB4DB2">
        <w:t>.</w:t>
      </w:r>
    </w:p>
    <w:p w14:paraId="1041960C" w14:textId="0215B370" w:rsidR="009D1A28" w:rsidRPr="00AB4DB2" w:rsidRDefault="009D1A28" w:rsidP="009D1A28">
      <w:pPr>
        <w:jc w:val="both"/>
        <w:rPr>
          <w:rFonts w:eastAsia="Calibri"/>
          <w:bCs/>
        </w:rPr>
      </w:pPr>
      <w:r w:rsidRPr="00AB4DB2">
        <w:rPr>
          <w:rFonts w:eastAsia="Calibri"/>
          <w:bCs/>
        </w:rPr>
        <w:t xml:space="preserve">The assignment will last for a period of </w:t>
      </w:r>
      <w:r w:rsidR="003D78EC" w:rsidRPr="00AB4DB2">
        <w:rPr>
          <w:rFonts w:eastAsia="Calibri"/>
          <w:b/>
          <w:bCs/>
        </w:rPr>
        <w:t>1</w:t>
      </w:r>
      <w:r w:rsidR="00960237">
        <w:rPr>
          <w:rFonts w:eastAsia="Calibri"/>
          <w:b/>
          <w:bCs/>
        </w:rPr>
        <w:t>2</w:t>
      </w:r>
      <w:r w:rsidR="003D78EC" w:rsidRPr="00AB4DB2">
        <w:rPr>
          <w:rFonts w:eastAsia="Calibri"/>
          <w:b/>
          <w:bCs/>
        </w:rPr>
        <w:t xml:space="preserve"> </w:t>
      </w:r>
      <w:r w:rsidRPr="00AB4DB2">
        <w:rPr>
          <w:rFonts w:eastAsia="Calibri"/>
          <w:b/>
          <w:bCs/>
        </w:rPr>
        <w:t>months</w:t>
      </w:r>
      <w:r w:rsidR="00174085" w:rsidRPr="00AB4DB2">
        <w:rPr>
          <w:rFonts w:eastAsia="Calibri"/>
          <w:b/>
          <w:bCs/>
        </w:rPr>
        <w:t xml:space="preserve"> </w:t>
      </w:r>
      <w:r w:rsidRPr="00AB4DB2">
        <w:rPr>
          <w:rFonts w:eastAsia="Calibri"/>
          <w:bCs/>
        </w:rPr>
        <w:t>from the signing of the contract, with the possibility of extension based on project needs and mutual agreement between the Consultant and the Project Implementation Unit (PIU).</w:t>
      </w:r>
    </w:p>
    <w:p w14:paraId="31F4B07B" w14:textId="77777777" w:rsidR="009D1A28" w:rsidRPr="00AB4DB2" w:rsidRDefault="009D1A28" w:rsidP="009D1A28">
      <w:pPr>
        <w:jc w:val="both"/>
        <w:rPr>
          <w:rFonts w:eastAsia="Calibri"/>
          <w:bCs/>
        </w:rPr>
      </w:pPr>
    </w:p>
    <w:p w14:paraId="3E65AE85" w14:textId="126C0130" w:rsidR="00174085" w:rsidRPr="00AB4DB2" w:rsidRDefault="00174085" w:rsidP="00A84403">
      <w:pPr>
        <w:jc w:val="both"/>
        <w:rPr>
          <w:rFonts w:eastAsia="Calibri"/>
          <w:b/>
        </w:rPr>
      </w:pPr>
    </w:p>
    <w:p w14:paraId="06CF281B" w14:textId="77777777" w:rsidR="0006496B" w:rsidRPr="00AB4DB2" w:rsidRDefault="0006496B" w:rsidP="008D2FB6">
      <w:pPr>
        <w:rPr>
          <w:b/>
          <w:bCs/>
        </w:rPr>
      </w:pPr>
      <w:bookmarkStart w:id="4" w:name="_Hlk182892300"/>
      <w:r w:rsidRPr="00AB4DB2">
        <w:rPr>
          <w:b/>
          <w:bCs/>
        </w:rPr>
        <w:t>Requirements</w:t>
      </w:r>
    </w:p>
    <w:p w14:paraId="54423620" w14:textId="77777777" w:rsidR="0006496B" w:rsidRPr="00AB4DB2" w:rsidRDefault="0006496B" w:rsidP="0006496B">
      <w:pPr>
        <w:pStyle w:val="Heading2"/>
      </w:pPr>
      <w:r w:rsidRPr="00AB4DB2">
        <w:t>Qualifications of the Consultants</w:t>
      </w:r>
    </w:p>
    <w:p w14:paraId="0B234ACF" w14:textId="1273603E" w:rsidR="0006496B" w:rsidRPr="00AB4DB2" w:rsidRDefault="0006496B" w:rsidP="0006496B">
      <w:pPr>
        <w:autoSpaceDE w:val="0"/>
        <w:autoSpaceDN w:val="0"/>
        <w:adjustRightInd w:val="0"/>
        <w:spacing w:after="60"/>
        <w:jc w:val="both"/>
      </w:pPr>
      <w:r w:rsidRPr="00AB4DB2">
        <w:t>To be shortlisted, a consultant (firm or joint venture) submitting the proposal must meet the following requirements:</w:t>
      </w:r>
    </w:p>
    <w:p w14:paraId="7366CC5C" w14:textId="07876BDE" w:rsidR="00A3677F" w:rsidRPr="00AB4DB2" w:rsidRDefault="00A3677F" w:rsidP="00220073">
      <w:pPr>
        <w:pStyle w:val="ListParagraph"/>
        <w:numPr>
          <w:ilvl w:val="0"/>
          <w:numId w:val="3"/>
        </w:numPr>
        <w:suppressAutoHyphens w:val="0"/>
        <w:spacing w:before="0" w:beforeAutospacing="0"/>
        <w:contextualSpacing w:val="0"/>
        <w:jc w:val="both"/>
        <w:rPr>
          <w:rFonts w:ascii="CG Times" w:hAnsi="CG Times"/>
        </w:rPr>
      </w:pPr>
      <w:r w:rsidRPr="00AB4DB2">
        <w:rPr>
          <w:rFonts w:ascii="CG Times" w:hAnsi="CG Times"/>
        </w:rPr>
        <w:t>Sh</w:t>
      </w:r>
      <w:r w:rsidR="00A972C2" w:rsidRPr="00AB4DB2">
        <w:rPr>
          <w:rFonts w:ascii="CG Times" w:hAnsi="CG Times"/>
        </w:rPr>
        <w:t>all</w:t>
      </w:r>
      <w:r w:rsidRPr="00AB4DB2">
        <w:rPr>
          <w:rFonts w:ascii="CG Times" w:hAnsi="CG Times"/>
        </w:rPr>
        <w:t xml:space="preserve"> apply as sole consultant or as a Joint Venture of consultants, demonstrating joint capacity to implement the assignment.</w:t>
      </w:r>
    </w:p>
    <w:p w14:paraId="75B94157" w14:textId="6958BD73" w:rsidR="00A972C2" w:rsidRPr="00AB4DB2" w:rsidRDefault="00A972C2" w:rsidP="00A972C2">
      <w:pPr>
        <w:pStyle w:val="ListParagraph"/>
        <w:numPr>
          <w:ilvl w:val="0"/>
          <w:numId w:val="3"/>
        </w:numPr>
        <w:suppressAutoHyphens w:val="0"/>
        <w:jc w:val="both"/>
        <w:rPr>
          <w:rFonts w:ascii="CG Times" w:hAnsi="CG Times"/>
        </w:rPr>
      </w:pPr>
      <w:r w:rsidRPr="00AB4DB2">
        <w:rPr>
          <w:rFonts w:ascii="CG Times" w:hAnsi="CG Times"/>
        </w:rPr>
        <w:t>Shall demonstrate their ability to successfully implement visibility and promotion strategies through:</w:t>
      </w:r>
    </w:p>
    <w:p w14:paraId="5F0C92BA" w14:textId="77777777" w:rsidR="00A972C2" w:rsidRPr="00AB4DB2" w:rsidRDefault="00A972C2" w:rsidP="00327876">
      <w:pPr>
        <w:pStyle w:val="ListParagraph"/>
        <w:numPr>
          <w:ilvl w:val="1"/>
          <w:numId w:val="3"/>
        </w:numPr>
        <w:suppressAutoHyphens w:val="0"/>
        <w:jc w:val="both"/>
        <w:rPr>
          <w:rFonts w:ascii="CG Times" w:hAnsi="CG Times"/>
        </w:rPr>
      </w:pPr>
      <w:r w:rsidRPr="00AB4DB2">
        <w:rPr>
          <w:rFonts w:ascii="CG Times" w:hAnsi="CG Times"/>
        </w:rPr>
        <w:t>Case studies, examples, or pilot projects (can include work done by the team prior to the firm’s formation).</w:t>
      </w:r>
    </w:p>
    <w:p w14:paraId="127AD950" w14:textId="0065C79C" w:rsidR="00A972C2" w:rsidRPr="00AB4DB2" w:rsidRDefault="00A972C2" w:rsidP="00A972C2">
      <w:pPr>
        <w:pStyle w:val="ListParagraph"/>
        <w:numPr>
          <w:ilvl w:val="1"/>
          <w:numId w:val="3"/>
        </w:numPr>
        <w:suppressAutoHyphens w:val="0"/>
        <w:spacing w:before="0" w:beforeAutospacing="0"/>
        <w:contextualSpacing w:val="0"/>
        <w:jc w:val="both"/>
        <w:rPr>
          <w:rFonts w:ascii="CG Times" w:hAnsi="CG Times"/>
        </w:rPr>
      </w:pPr>
      <w:r w:rsidRPr="00AB4DB2">
        <w:rPr>
          <w:rFonts w:ascii="CG Times" w:hAnsi="CG Times"/>
        </w:rPr>
        <w:t>A portfolio showcasing creative and effective communication strategies, even if developed outside the context of public administration.</w:t>
      </w:r>
    </w:p>
    <w:p w14:paraId="3B78FE31" w14:textId="77777777" w:rsidR="0054662E" w:rsidRPr="00AB4DB2" w:rsidRDefault="0054662E" w:rsidP="0054662E">
      <w:pPr>
        <w:jc w:val="both"/>
        <w:rPr>
          <w:rFonts w:eastAsia="Calibri"/>
          <w:b/>
        </w:rPr>
      </w:pPr>
    </w:p>
    <w:p w14:paraId="5882AF73" w14:textId="289F27C6" w:rsidR="00C41FDA" w:rsidRPr="00AB4DB2" w:rsidRDefault="002A1638" w:rsidP="007C50F8">
      <w:pPr>
        <w:numPr>
          <w:ilvl w:val="0"/>
          <w:numId w:val="1"/>
        </w:numPr>
        <w:suppressAutoHyphens w:val="0"/>
        <w:spacing w:after="200" w:line="276" w:lineRule="auto"/>
        <w:jc w:val="both"/>
        <w:rPr>
          <w:rFonts w:eastAsia="Calibri"/>
        </w:rPr>
      </w:pPr>
      <w:r w:rsidRPr="00AB4DB2">
        <w:rPr>
          <w:rFonts w:eastAsia="Calibri"/>
        </w:rPr>
        <w:t xml:space="preserve">Proven experience </w:t>
      </w:r>
      <w:r w:rsidR="001B6CFB" w:rsidRPr="00AB4DB2">
        <w:rPr>
          <w:rFonts w:eastAsia="Calibri"/>
        </w:rPr>
        <w:t>in the management and development of visibility and communication campaigns in the area of public administration reform</w:t>
      </w:r>
      <w:r w:rsidRPr="00AB4DB2">
        <w:rPr>
          <w:rFonts w:eastAsia="Calibri"/>
        </w:rPr>
        <w:t xml:space="preserve"> demonstrated through at least 2 projects within the last 5 years</w:t>
      </w:r>
      <w:r w:rsidR="002537C2" w:rsidRPr="00AB4DB2">
        <w:rPr>
          <w:rFonts w:eastAsia="Calibri"/>
        </w:rPr>
        <w:t xml:space="preserve">; </w:t>
      </w:r>
    </w:p>
    <w:p w14:paraId="64C9D89B" w14:textId="39A9C1FA" w:rsidR="00B5658E" w:rsidRPr="00AB4DB2" w:rsidRDefault="002A1638" w:rsidP="007C50F8">
      <w:pPr>
        <w:numPr>
          <w:ilvl w:val="0"/>
          <w:numId w:val="1"/>
        </w:numPr>
        <w:suppressAutoHyphens w:val="0"/>
        <w:spacing w:after="200" w:line="276" w:lineRule="auto"/>
        <w:jc w:val="both"/>
        <w:rPr>
          <w:rFonts w:eastAsia="Calibri"/>
        </w:rPr>
      </w:pPr>
      <w:r w:rsidRPr="00AB4DB2">
        <w:rPr>
          <w:rFonts w:eastAsia="Calibri"/>
        </w:rPr>
        <w:t>P</w:t>
      </w:r>
      <w:r w:rsidR="001B6CFB" w:rsidRPr="00AB4DB2">
        <w:rPr>
          <w:rFonts w:eastAsia="Calibri"/>
        </w:rPr>
        <w:t xml:space="preserve">roven experience by the </w:t>
      </w:r>
      <w:r w:rsidR="00F31D1D" w:rsidRPr="00AB4DB2">
        <w:rPr>
          <w:rFonts w:eastAsia="Calibri"/>
        </w:rPr>
        <w:t xml:space="preserve">consultant </w:t>
      </w:r>
      <w:r w:rsidR="001B6CFB" w:rsidRPr="00AB4DB2">
        <w:rPr>
          <w:rFonts w:eastAsia="Calibri"/>
        </w:rPr>
        <w:t>in collaborating on visibility and promotion in the area of policy reforms and of the digitalization of government services</w:t>
      </w:r>
      <w:r w:rsidRPr="00AB4DB2">
        <w:rPr>
          <w:rFonts w:eastAsia="Calibri"/>
        </w:rPr>
        <w:t xml:space="preserve"> demonstrated through at least 2 projects within the last </w:t>
      </w:r>
      <w:r w:rsidR="00D33F75">
        <w:rPr>
          <w:rFonts w:eastAsia="Calibri"/>
        </w:rPr>
        <w:t>7</w:t>
      </w:r>
      <w:r w:rsidR="00D33F75" w:rsidRPr="00AB4DB2">
        <w:rPr>
          <w:rFonts w:eastAsia="Calibri"/>
        </w:rPr>
        <w:t xml:space="preserve"> </w:t>
      </w:r>
      <w:r w:rsidRPr="00AB4DB2">
        <w:rPr>
          <w:rFonts w:eastAsia="Calibri"/>
        </w:rPr>
        <w:t>years;</w:t>
      </w:r>
    </w:p>
    <w:p w14:paraId="308AC432" w14:textId="54C30795" w:rsidR="00892B2C" w:rsidRPr="00AB4DB2" w:rsidRDefault="002A1638" w:rsidP="007C50F8">
      <w:pPr>
        <w:numPr>
          <w:ilvl w:val="0"/>
          <w:numId w:val="1"/>
        </w:numPr>
        <w:suppressAutoHyphens w:val="0"/>
        <w:spacing w:after="200" w:line="276" w:lineRule="auto"/>
        <w:jc w:val="both"/>
        <w:rPr>
          <w:rFonts w:eastAsia="Calibri"/>
        </w:rPr>
      </w:pPr>
      <w:r w:rsidRPr="00AB4DB2">
        <w:rPr>
          <w:rFonts w:eastAsia="Calibri"/>
        </w:rPr>
        <w:t>Proven</w:t>
      </w:r>
      <w:r w:rsidR="001B6CFB" w:rsidRPr="00AB4DB2">
        <w:rPr>
          <w:rFonts w:eastAsia="Calibri"/>
        </w:rPr>
        <w:t xml:space="preserve"> experience of the </w:t>
      </w:r>
      <w:r w:rsidR="00F31D1D" w:rsidRPr="00AB4DB2">
        <w:rPr>
          <w:rFonts w:eastAsia="Calibri"/>
        </w:rPr>
        <w:t xml:space="preserve">consultant </w:t>
      </w:r>
      <w:r w:rsidR="001B6CFB" w:rsidRPr="00AB4DB2">
        <w:rPr>
          <w:rFonts w:eastAsia="Calibri"/>
        </w:rPr>
        <w:t>in public relations (PR) and communication activities for donor-funded projects related to the improvement of government services</w:t>
      </w:r>
      <w:r w:rsidRPr="00AB4DB2">
        <w:rPr>
          <w:rFonts w:eastAsia="Calibri"/>
        </w:rPr>
        <w:t>, demonstrated through at least 2 projects within the last 5 years</w:t>
      </w:r>
      <w:r w:rsidR="00873C46" w:rsidRPr="00AB4DB2">
        <w:rPr>
          <w:rFonts w:eastAsia="Calibri"/>
        </w:rPr>
        <w:t>;</w:t>
      </w:r>
    </w:p>
    <w:p w14:paraId="74972E08" w14:textId="74E3F1E1" w:rsidR="00174085" w:rsidRPr="00AB4DB2" w:rsidRDefault="001B6CFB" w:rsidP="007C50F8">
      <w:pPr>
        <w:numPr>
          <w:ilvl w:val="0"/>
          <w:numId w:val="1"/>
        </w:numPr>
        <w:suppressAutoHyphens w:val="0"/>
        <w:spacing w:after="200" w:line="276" w:lineRule="auto"/>
        <w:jc w:val="both"/>
        <w:rPr>
          <w:rFonts w:eastAsia="Calibri"/>
        </w:rPr>
      </w:pPr>
      <w:r w:rsidRPr="00AB4DB2">
        <w:rPr>
          <w:rFonts w:eastAsia="Calibri"/>
        </w:rPr>
        <w:t xml:space="preserve">The </w:t>
      </w:r>
      <w:r w:rsidR="00F31D1D" w:rsidRPr="00AB4DB2">
        <w:rPr>
          <w:rFonts w:eastAsia="Calibri"/>
        </w:rPr>
        <w:t xml:space="preserve">consultant </w:t>
      </w:r>
      <w:r w:rsidRPr="00AB4DB2">
        <w:rPr>
          <w:rFonts w:eastAsia="Calibri"/>
        </w:rPr>
        <w:t xml:space="preserve">staff should have successfully contributed to at least 2 projects within the last 5 years that involved visibility and communication campaigns for public institutions. </w:t>
      </w:r>
    </w:p>
    <w:p w14:paraId="4AF982D8" w14:textId="56D8C89C" w:rsidR="007E77C3" w:rsidRPr="00AB4DB2" w:rsidRDefault="00F31D1D" w:rsidP="007C50F8">
      <w:pPr>
        <w:numPr>
          <w:ilvl w:val="0"/>
          <w:numId w:val="1"/>
        </w:numPr>
        <w:suppressAutoHyphens w:val="0"/>
        <w:spacing w:after="200" w:line="276" w:lineRule="auto"/>
        <w:jc w:val="both"/>
        <w:rPr>
          <w:rFonts w:eastAsia="Calibri"/>
        </w:rPr>
      </w:pPr>
      <w:r w:rsidRPr="00AB4DB2">
        <w:rPr>
          <w:rFonts w:eastAsia="Calibri"/>
        </w:rPr>
        <w:t>The consultant should have successfully o</w:t>
      </w:r>
      <w:r w:rsidR="00AB4DB2" w:rsidRPr="00AB4DB2">
        <w:rPr>
          <w:rFonts w:eastAsia="Calibri"/>
        </w:rPr>
        <w:t>rganized</w:t>
      </w:r>
      <w:r w:rsidR="007E77C3" w:rsidRPr="00AB4DB2">
        <w:rPr>
          <w:rFonts w:eastAsia="Calibri"/>
        </w:rPr>
        <w:t xml:space="preserve"> and implement</w:t>
      </w:r>
      <w:r w:rsidRPr="00AB4DB2">
        <w:rPr>
          <w:rFonts w:eastAsia="Calibri"/>
        </w:rPr>
        <w:t>ed</w:t>
      </w:r>
      <w:r w:rsidR="007E77C3" w:rsidRPr="00AB4DB2">
        <w:rPr>
          <w:rFonts w:eastAsia="Calibri"/>
        </w:rPr>
        <w:t xml:space="preserve"> minimum 3 workshops, seminars, trainings or other relevant capacity building events with minimum of 10 participants in the previous </w:t>
      </w:r>
      <w:r w:rsidRPr="00AB4DB2">
        <w:rPr>
          <w:rFonts w:eastAsia="Calibri"/>
        </w:rPr>
        <w:t>5</w:t>
      </w:r>
      <w:r w:rsidR="007E77C3" w:rsidRPr="00AB4DB2">
        <w:rPr>
          <w:rFonts w:eastAsia="Calibri"/>
        </w:rPr>
        <w:t xml:space="preserve"> years.</w:t>
      </w:r>
    </w:p>
    <w:p w14:paraId="20E321D4" w14:textId="55172945" w:rsidR="00C41FDA" w:rsidRPr="00AB4DB2" w:rsidRDefault="001B6CFB" w:rsidP="007C50F8">
      <w:pPr>
        <w:numPr>
          <w:ilvl w:val="0"/>
          <w:numId w:val="1"/>
        </w:numPr>
        <w:suppressAutoHyphens w:val="0"/>
        <w:spacing w:after="200" w:line="276" w:lineRule="auto"/>
        <w:jc w:val="both"/>
        <w:rPr>
          <w:rFonts w:eastAsia="Calibri"/>
        </w:rPr>
      </w:pPr>
      <w:r w:rsidRPr="00AB4DB2">
        <w:rPr>
          <w:rFonts w:eastAsia="Calibri"/>
        </w:rPr>
        <w:t>Experience on the visibility and promotion of the digitalization of G2B services is considered a significant advantage</w:t>
      </w:r>
      <w:r w:rsidR="00C41FDA" w:rsidRPr="00AB4DB2">
        <w:rPr>
          <w:rFonts w:eastAsia="Calibri"/>
        </w:rPr>
        <w:t>;</w:t>
      </w:r>
    </w:p>
    <w:p w14:paraId="209A7B39" w14:textId="7DBABE3E" w:rsidR="00AE5201" w:rsidRPr="00AB4DB2" w:rsidRDefault="00AE5201" w:rsidP="00AE5201">
      <w:pPr>
        <w:pStyle w:val="Heading2"/>
      </w:pPr>
      <w:bookmarkStart w:id="5" w:name="_Toc170974623"/>
      <w:r w:rsidRPr="00AB4DB2">
        <w:t>Qualifications of the Key-staff</w:t>
      </w:r>
      <w:bookmarkEnd w:id="5"/>
    </w:p>
    <w:p w14:paraId="617602D6" w14:textId="77777777" w:rsidR="00AE5201" w:rsidRPr="00AB4DB2" w:rsidRDefault="00AE5201" w:rsidP="00AE5201">
      <w:pPr>
        <w:autoSpaceDE w:val="0"/>
        <w:autoSpaceDN w:val="0"/>
        <w:adjustRightInd w:val="0"/>
        <w:spacing w:after="60"/>
        <w:jc w:val="both"/>
        <w:rPr>
          <w:b/>
        </w:rPr>
      </w:pPr>
      <w:r w:rsidRPr="00AB4DB2">
        <w:t>The Consultant shall provide Key-staff for the following positions</w:t>
      </w:r>
      <w:r w:rsidRPr="00AB4DB2">
        <w:rPr>
          <w:b/>
        </w:rPr>
        <w:t>:</w:t>
      </w:r>
    </w:p>
    <w:p w14:paraId="07BDC7C5" w14:textId="77777777" w:rsidR="001955AC" w:rsidRPr="00AB4DB2" w:rsidRDefault="001955AC" w:rsidP="00AE5201">
      <w:pPr>
        <w:autoSpaceDE w:val="0"/>
        <w:autoSpaceDN w:val="0"/>
        <w:adjustRightInd w:val="0"/>
        <w:spacing w:after="60"/>
        <w:jc w:val="both"/>
        <w:rPr>
          <w:b/>
        </w:rPr>
      </w:pPr>
    </w:p>
    <w:p w14:paraId="55521419" w14:textId="2662B760" w:rsidR="001955AC" w:rsidRPr="00AB4DB2" w:rsidRDefault="001955AC" w:rsidP="001955AC">
      <w:pPr>
        <w:rPr>
          <w:rFonts w:eastAsia="Calibri"/>
          <w:u w:val="single"/>
        </w:rPr>
      </w:pPr>
      <w:r w:rsidRPr="00AB4DB2">
        <w:rPr>
          <w:rFonts w:eastAsia="Calibri"/>
          <w:u w:val="single"/>
        </w:rPr>
        <w:t>Key Expert 1 - Project Manager:</w:t>
      </w:r>
    </w:p>
    <w:p w14:paraId="48D9DEDE" w14:textId="33F5D5D4" w:rsidR="001955AC" w:rsidRPr="00AB4DB2" w:rsidRDefault="001955AC" w:rsidP="00220073">
      <w:pPr>
        <w:numPr>
          <w:ilvl w:val="0"/>
          <w:numId w:val="2"/>
        </w:numPr>
        <w:suppressAutoHyphens w:val="0"/>
        <w:spacing w:before="120" w:after="120"/>
        <w:jc w:val="both"/>
        <w:rPr>
          <w:rFonts w:cstheme="minorHAnsi"/>
        </w:rPr>
      </w:pPr>
      <w:r w:rsidRPr="00AB4DB2">
        <w:rPr>
          <w:rFonts w:cstheme="minorHAnsi"/>
        </w:rPr>
        <w:t>University degree</w:t>
      </w:r>
      <w:r w:rsidR="00F82C54" w:rsidRPr="00AB4DB2">
        <w:rPr>
          <w:rFonts w:cstheme="minorHAnsi"/>
        </w:rPr>
        <w:t xml:space="preserve"> </w:t>
      </w:r>
      <w:r w:rsidRPr="00AB4DB2">
        <w:rPr>
          <w:rFonts w:cstheme="minorHAnsi"/>
        </w:rPr>
        <w:t xml:space="preserve">in the field of </w:t>
      </w:r>
      <w:r w:rsidR="00990AEA" w:rsidRPr="00AB4DB2">
        <w:rPr>
          <w:rFonts w:cstheme="minorHAnsi"/>
        </w:rPr>
        <w:t>management,</w:t>
      </w:r>
      <w:r w:rsidR="009B2859" w:rsidRPr="00AB4DB2">
        <w:rPr>
          <w:rFonts w:cstheme="minorHAnsi"/>
        </w:rPr>
        <w:t xml:space="preserve"> organizational science,</w:t>
      </w:r>
      <w:r w:rsidR="00990AEA" w:rsidRPr="00AB4DB2">
        <w:rPr>
          <w:rFonts w:cstheme="minorHAnsi"/>
        </w:rPr>
        <w:t xml:space="preserve"> economy</w:t>
      </w:r>
      <w:r w:rsidRPr="00AB4DB2">
        <w:rPr>
          <w:rFonts w:cstheme="minorHAnsi"/>
        </w:rPr>
        <w:t>, or equivalent;</w:t>
      </w:r>
    </w:p>
    <w:p w14:paraId="49064F0B" w14:textId="473DB2F9" w:rsidR="00170A61" w:rsidRPr="00AB4DB2" w:rsidRDefault="00170A61" w:rsidP="00220073">
      <w:pPr>
        <w:numPr>
          <w:ilvl w:val="0"/>
          <w:numId w:val="2"/>
        </w:numPr>
        <w:suppressAutoHyphens w:val="0"/>
        <w:spacing w:before="120" w:after="120"/>
        <w:jc w:val="both"/>
        <w:rPr>
          <w:rFonts w:cstheme="minorHAnsi"/>
        </w:rPr>
      </w:pPr>
      <w:r w:rsidRPr="00AB4DB2">
        <w:rPr>
          <w:rFonts w:cstheme="minorHAnsi"/>
        </w:rPr>
        <w:t xml:space="preserve">Has experience in managing at least </w:t>
      </w:r>
      <w:r w:rsidR="00F31D1D" w:rsidRPr="00AB4DB2">
        <w:t>2 assignments in the field of promotion and visibility</w:t>
      </w:r>
      <w:r w:rsidR="00F31D1D" w:rsidRPr="00AB4DB2">
        <w:rPr>
          <w:rFonts w:cstheme="minorHAnsi"/>
        </w:rPr>
        <w:t xml:space="preserve"> </w:t>
      </w:r>
      <w:r w:rsidRPr="00AB4DB2">
        <w:rPr>
          <w:rFonts w:cstheme="minorHAnsi"/>
        </w:rPr>
        <w:t xml:space="preserve">in last </w:t>
      </w:r>
      <w:r w:rsidR="00990AEA" w:rsidRPr="00AB4DB2">
        <w:rPr>
          <w:rFonts w:cstheme="minorHAnsi"/>
        </w:rPr>
        <w:t>7</w:t>
      </w:r>
      <w:r w:rsidRPr="00AB4DB2">
        <w:rPr>
          <w:rFonts w:cstheme="minorHAnsi"/>
        </w:rPr>
        <w:t xml:space="preserve"> years;</w:t>
      </w:r>
    </w:p>
    <w:p w14:paraId="557B677B" w14:textId="546764EC" w:rsidR="00CE4AE2" w:rsidRPr="00AB4DB2" w:rsidRDefault="00126C38" w:rsidP="00220073">
      <w:pPr>
        <w:numPr>
          <w:ilvl w:val="0"/>
          <w:numId w:val="2"/>
        </w:numPr>
        <w:suppressAutoHyphens w:val="0"/>
        <w:spacing w:before="120" w:after="120"/>
        <w:jc w:val="both"/>
        <w:rPr>
          <w:rFonts w:cstheme="minorHAnsi"/>
        </w:rPr>
      </w:pPr>
      <w:r w:rsidRPr="00AB4DB2">
        <w:rPr>
          <w:rFonts w:cstheme="minorHAnsi"/>
        </w:rPr>
        <w:t>Preferably has at least 5 years</w:t>
      </w:r>
      <w:r w:rsidR="009B2859" w:rsidRPr="00AB4DB2">
        <w:rPr>
          <w:rFonts w:cstheme="minorHAnsi"/>
        </w:rPr>
        <w:t xml:space="preserve"> of </w:t>
      </w:r>
      <w:r w:rsidR="000F59BF" w:rsidRPr="00AB4DB2">
        <w:rPr>
          <w:rFonts w:cstheme="minorHAnsi"/>
        </w:rPr>
        <w:t>experience on projects in Serbian government administration</w:t>
      </w:r>
      <w:r w:rsidR="004360BB" w:rsidRPr="00AB4DB2">
        <w:rPr>
          <w:rFonts w:cstheme="minorHAnsi"/>
        </w:rPr>
        <w:t>;</w:t>
      </w:r>
    </w:p>
    <w:p w14:paraId="734B117B" w14:textId="77777777" w:rsidR="001955AC" w:rsidRPr="00AB4DB2" w:rsidRDefault="001955AC" w:rsidP="00220073">
      <w:pPr>
        <w:numPr>
          <w:ilvl w:val="0"/>
          <w:numId w:val="2"/>
        </w:numPr>
        <w:suppressAutoHyphens w:val="0"/>
        <w:spacing w:before="120" w:after="120"/>
        <w:jc w:val="both"/>
        <w:rPr>
          <w:rFonts w:cstheme="minorHAnsi"/>
        </w:rPr>
      </w:pPr>
      <w:r w:rsidRPr="00AB4DB2">
        <w:rPr>
          <w:rFonts w:cstheme="minorHAnsi"/>
        </w:rPr>
        <w:t>Excellent written and spoken skills in English and Serbian language;</w:t>
      </w:r>
    </w:p>
    <w:p w14:paraId="52B2CCF5" w14:textId="12ED4575" w:rsidR="00F31D1D" w:rsidRPr="00AB4DB2" w:rsidRDefault="00F31D1D" w:rsidP="00220073">
      <w:pPr>
        <w:numPr>
          <w:ilvl w:val="0"/>
          <w:numId w:val="2"/>
        </w:numPr>
        <w:suppressAutoHyphens w:val="0"/>
        <w:spacing w:before="120" w:after="120"/>
        <w:jc w:val="both"/>
        <w:rPr>
          <w:rFonts w:cstheme="minorHAnsi"/>
        </w:rPr>
      </w:pPr>
      <w:r w:rsidRPr="00AB4DB2">
        <w:rPr>
          <w:rFonts w:cstheme="minorHAnsi"/>
        </w:rPr>
        <w:t xml:space="preserve">Experience in communication </w:t>
      </w:r>
      <w:r w:rsidRPr="00AB4DB2">
        <w:rPr>
          <w:rFonts w:eastAsia="Calibri"/>
        </w:rPr>
        <w:t>in the area of public administration reform would be considered as an advantage.</w:t>
      </w:r>
    </w:p>
    <w:p w14:paraId="110104A5" w14:textId="71463F97" w:rsidR="001955AC" w:rsidRPr="00AB4DB2" w:rsidRDefault="001955AC" w:rsidP="00CB2D59">
      <w:pPr>
        <w:rPr>
          <w:rFonts w:eastAsia="Calibri"/>
        </w:rPr>
      </w:pPr>
    </w:p>
    <w:p w14:paraId="2253E20B" w14:textId="2826037E" w:rsidR="000C3E37" w:rsidRPr="00AB4DB2" w:rsidRDefault="000C3E37" w:rsidP="005B4B1A">
      <w:pPr>
        <w:rPr>
          <w:rFonts w:cstheme="minorHAnsi"/>
          <w:u w:val="single"/>
        </w:rPr>
      </w:pPr>
      <w:bookmarkStart w:id="6" w:name="_Hlk175776142"/>
      <w:r w:rsidRPr="00AB4DB2">
        <w:rPr>
          <w:rFonts w:cstheme="minorHAnsi"/>
          <w:u w:val="single"/>
        </w:rPr>
        <w:t xml:space="preserve">Key Expert 2 </w:t>
      </w:r>
      <w:r w:rsidR="00F82C54" w:rsidRPr="00AB4DB2">
        <w:rPr>
          <w:rFonts w:cstheme="minorHAnsi"/>
          <w:u w:val="single"/>
        </w:rPr>
        <w:t>–</w:t>
      </w:r>
      <w:r w:rsidRPr="00AB4DB2">
        <w:rPr>
          <w:rFonts w:cstheme="minorHAnsi"/>
          <w:u w:val="single"/>
        </w:rPr>
        <w:t xml:space="preserve"> </w:t>
      </w:r>
      <w:r w:rsidR="00F82C54" w:rsidRPr="00AB4DB2">
        <w:rPr>
          <w:rFonts w:eastAsia="Calibri"/>
          <w:u w:val="single"/>
        </w:rPr>
        <w:t xml:space="preserve">Communication and Visibility </w:t>
      </w:r>
    </w:p>
    <w:p w14:paraId="071397D1" w14:textId="5E14C1CC" w:rsidR="000C3E37" w:rsidRPr="00AB4DB2" w:rsidRDefault="000C3E37" w:rsidP="00220073">
      <w:pPr>
        <w:numPr>
          <w:ilvl w:val="0"/>
          <w:numId w:val="2"/>
        </w:numPr>
        <w:suppressAutoHyphens w:val="0"/>
        <w:spacing w:before="120" w:after="120"/>
        <w:jc w:val="both"/>
        <w:rPr>
          <w:rFonts w:cstheme="minorHAnsi"/>
        </w:rPr>
      </w:pPr>
      <w:r w:rsidRPr="00AB4DB2">
        <w:rPr>
          <w:rFonts w:cstheme="minorHAnsi"/>
        </w:rPr>
        <w:t>University degree</w:t>
      </w:r>
      <w:r w:rsidR="00F82C54" w:rsidRPr="00AB4DB2">
        <w:rPr>
          <w:rFonts w:cstheme="minorHAnsi"/>
        </w:rPr>
        <w:t xml:space="preserve"> </w:t>
      </w:r>
      <w:r w:rsidRPr="00AB4DB2">
        <w:rPr>
          <w:rFonts w:cstheme="minorHAnsi"/>
        </w:rPr>
        <w:t xml:space="preserve">in the field of </w:t>
      </w:r>
      <w:r w:rsidR="00F82C54" w:rsidRPr="00AB4DB2">
        <w:rPr>
          <w:rFonts w:eastAsia="Calibri"/>
        </w:rPr>
        <w:t xml:space="preserve">communications, journalism, </w:t>
      </w:r>
      <w:r w:rsidRPr="00AB4DB2">
        <w:rPr>
          <w:rFonts w:cstheme="minorHAnsi"/>
        </w:rPr>
        <w:t xml:space="preserve">or a </w:t>
      </w:r>
      <w:r w:rsidR="002175CC" w:rsidRPr="00AB4DB2">
        <w:rPr>
          <w:rFonts w:cstheme="minorHAnsi"/>
        </w:rPr>
        <w:t>related</w:t>
      </w:r>
      <w:r w:rsidRPr="00AB4DB2">
        <w:rPr>
          <w:rFonts w:cstheme="minorHAnsi"/>
        </w:rPr>
        <w:t xml:space="preserve"> field;</w:t>
      </w:r>
    </w:p>
    <w:p w14:paraId="300828DA" w14:textId="729C9EAF" w:rsidR="000C3E37" w:rsidRPr="00AB4DB2" w:rsidRDefault="000C3E37" w:rsidP="00220073">
      <w:pPr>
        <w:numPr>
          <w:ilvl w:val="0"/>
          <w:numId w:val="2"/>
        </w:numPr>
        <w:suppressAutoHyphens w:val="0"/>
        <w:spacing w:before="120" w:after="120"/>
        <w:jc w:val="both"/>
        <w:rPr>
          <w:rFonts w:cstheme="minorHAnsi"/>
        </w:rPr>
      </w:pPr>
      <w:r w:rsidRPr="00AB4DB2">
        <w:rPr>
          <w:rFonts w:cstheme="minorHAnsi"/>
        </w:rPr>
        <w:t xml:space="preserve">Has at least </w:t>
      </w:r>
      <w:r w:rsidR="009B2859" w:rsidRPr="00AB4DB2">
        <w:rPr>
          <w:rFonts w:cstheme="minorHAnsi"/>
        </w:rPr>
        <w:t>5</w:t>
      </w:r>
      <w:r w:rsidRPr="00AB4DB2">
        <w:rPr>
          <w:rFonts w:cstheme="minorHAnsi"/>
        </w:rPr>
        <w:t xml:space="preserve"> years of </w:t>
      </w:r>
      <w:r w:rsidR="002175CC" w:rsidRPr="00AB4DB2">
        <w:rPr>
          <w:rFonts w:eastAsia="Calibri"/>
        </w:rPr>
        <w:t xml:space="preserve">relevant professional experience with strong understanding of </w:t>
      </w:r>
      <w:r w:rsidR="00F82C54" w:rsidRPr="00AB4DB2">
        <w:rPr>
          <w:rFonts w:eastAsia="Calibri"/>
        </w:rPr>
        <w:t xml:space="preserve">public administration </w:t>
      </w:r>
      <w:proofErr w:type="gramStart"/>
      <w:r w:rsidR="00F82C54" w:rsidRPr="00AB4DB2">
        <w:rPr>
          <w:rFonts w:eastAsia="Calibri"/>
        </w:rPr>
        <w:t xml:space="preserve">reform, </w:t>
      </w:r>
      <w:r w:rsidR="00F82C54" w:rsidRPr="00AB4DB2">
        <w:t xml:space="preserve"> </w:t>
      </w:r>
      <w:r w:rsidR="00F82C54" w:rsidRPr="00AB4DB2">
        <w:rPr>
          <w:rFonts w:eastAsia="Calibri"/>
        </w:rPr>
        <w:t>digitalization</w:t>
      </w:r>
      <w:proofErr w:type="gramEnd"/>
      <w:r w:rsidR="00F82C54" w:rsidRPr="00AB4DB2">
        <w:rPr>
          <w:rFonts w:eastAsia="Calibri"/>
        </w:rPr>
        <w:t xml:space="preserve"> of G2B services</w:t>
      </w:r>
      <w:r w:rsidR="002175CC" w:rsidRPr="00AB4DB2">
        <w:rPr>
          <w:rFonts w:cstheme="minorHAnsi"/>
        </w:rPr>
        <w:t>;</w:t>
      </w:r>
    </w:p>
    <w:p w14:paraId="5DAF29FD" w14:textId="0B716E20" w:rsidR="003A1717" w:rsidRPr="00AB4DB2" w:rsidRDefault="003A1717" w:rsidP="00220073">
      <w:pPr>
        <w:numPr>
          <w:ilvl w:val="0"/>
          <w:numId w:val="2"/>
        </w:numPr>
        <w:suppressAutoHyphens w:val="0"/>
        <w:spacing w:before="120" w:after="120"/>
        <w:jc w:val="both"/>
        <w:rPr>
          <w:rFonts w:cstheme="minorHAnsi"/>
        </w:rPr>
      </w:pPr>
      <w:r w:rsidRPr="00AB4DB2">
        <w:rPr>
          <w:rFonts w:cstheme="minorHAnsi"/>
        </w:rPr>
        <w:t>Experience in designing and organizing at least 3 public events in the past 5 years in cooperation with government institutions.</w:t>
      </w:r>
    </w:p>
    <w:p w14:paraId="4D034972" w14:textId="2C9DEEFD" w:rsidR="000C3E37" w:rsidRPr="00AB4DB2" w:rsidRDefault="000C3E37" w:rsidP="00220073">
      <w:pPr>
        <w:numPr>
          <w:ilvl w:val="0"/>
          <w:numId w:val="2"/>
        </w:numPr>
        <w:suppressAutoHyphens w:val="0"/>
        <w:spacing w:before="120" w:after="120"/>
        <w:jc w:val="both"/>
        <w:rPr>
          <w:rFonts w:cstheme="minorHAnsi"/>
        </w:rPr>
      </w:pPr>
      <w:r w:rsidRPr="00AB4DB2">
        <w:rPr>
          <w:rFonts w:cstheme="minorHAnsi"/>
        </w:rPr>
        <w:t xml:space="preserve">Experience in </w:t>
      </w:r>
      <w:r w:rsidR="00F82C54" w:rsidRPr="00AB4DB2">
        <w:rPr>
          <w:rFonts w:cstheme="minorHAnsi"/>
        </w:rPr>
        <w:t xml:space="preserve">provision of communication services </w:t>
      </w:r>
      <w:r w:rsidRPr="00AB4DB2">
        <w:rPr>
          <w:rFonts w:cstheme="minorHAnsi"/>
        </w:rPr>
        <w:t>for Serbian government administration bodies will be considered an asset.</w:t>
      </w:r>
    </w:p>
    <w:p w14:paraId="122579A7" w14:textId="77777777" w:rsidR="000C3E37" w:rsidRPr="00AB4DB2" w:rsidRDefault="000C3E37" w:rsidP="00220073">
      <w:pPr>
        <w:numPr>
          <w:ilvl w:val="0"/>
          <w:numId w:val="2"/>
        </w:numPr>
        <w:suppressAutoHyphens w:val="0"/>
        <w:spacing w:before="120" w:after="120"/>
        <w:jc w:val="both"/>
        <w:rPr>
          <w:rFonts w:cstheme="minorHAnsi"/>
        </w:rPr>
      </w:pPr>
      <w:r w:rsidRPr="00AB4DB2">
        <w:rPr>
          <w:rFonts w:cstheme="minorHAnsi"/>
        </w:rPr>
        <w:t>Excellent written and spoken skills in English and Serbian language.</w:t>
      </w:r>
    </w:p>
    <w:bookmarkEnd w:id="6"/>
    <w:p w14:paraId="04938ADD" w14:textId="77777777" w:rsidR="00F952BD" w:rsidRPr="00AB4DB2" w:rsidRDefault="00F952BD" w:rsidP="00F952BD">
      <w:pPr>
        <w:jc w:val="both"/>
        <w:rPr>
          <w:rFonts w:eastAsia="Calibri"/>
          <w:u w:val="single"/>
        </w:rPr>
      </w:pPr>
    </w:p>
    <w:p w14:paraId="1609B30B" w14:textId="6D3AFC7F" w:rsidR="00F952BD" w:rsidRPr="00AB4DB2" w:rsidRDefault="00F952BD" w:rsidP="00F952BD">
      <w:pPr>
        <w:rPr>
          <w:rFonts w:eastAsia="Calibri"/>
        </w:rPr>
      </w:pPr>
      <w:r w:rsidRPr="00AB4DB2">
        <w:rPr>
          <w:rFonts w:eastAsia="Calibri"/>
          <w:u w:val="single"/>
        </w:rPr>
        <w:t xml:space="preserve">Key Expert 3 </w:t>
      </w:r>
      <w:r w:rsidR="00F82C54" w:rsidRPr="00AB4DB2">
        <w:rPr>
          <w:rFonts w:eastAsia="Calibri"/>
          <w:u w:val="single"/>
        </w:rPr>
        <w:t>–</w:t>
      </w:r>
      <w:r w:rsidRPr="00AB4DB2">
        <w:rPr>
          <w:rFonts w:eastAsia="Calibri"/>
          <w:u w:val="single"/>
        </w:rPr>
        <w:t xml:space="preserve"> </w:t>
      </w:r>
      <w:r w:rsidR="00F82C54" w:rsidRPr="00AB4DB2">
        <w:rPr>
          <w:rFonts w:eastAsia="Calibri"/>
          <w:u w:val="single"/>
        </w:rPr>
        <w:t>Media Relations</w:t>
      </w:r>
    </w:p>
    <w:p w14:paraId="381D57B9" w14:textId="77777777" w:rsidR="00F82C54" w:rsidRPr="00AB4DB2" w:rsidRDefault="00F82C54" w:rsidP="00F82C54">
      <w:pPr>
        <w:pStyle w:val="ListParagraph"/>
        <w:numPr>
          <w:ilvl w:val="0"/>
          <w:numId w:val="24"/>
        </w:numPr>
        <w:suppressAutoHyphens w:val="0"/>
        <w:spacing w:after="200" w:line="276" w:lineRule="auto"/>
        <w:jc w:val="both"/>
        <w:rPr>
          <w:rFonts w:cstheme="minorHAnsi"/>
        </w:rPr>
      </w:pPr>
      <w:r w:rsidRPr="00AB4DB2">
        <w:rPr>
          <w:rFonts w:cstheme="minorHAnsi"/>
        </w:rPr>
        <w:t xml:space="preserve">University degree in the field of </w:t>
      </w:r>
      <w:r w:rsidRPr="00AB4DB2">
        <w:rPr>
          <w:rFonts w:eastAsia="Calibri"/>
        </w:rPr>
        <w:t xml:space="preserve">communications, journalism, </w:t>
      </w:r>
      <w:r w:rsidRPr="00AB4DB2">
        <w:rPr>
          <w:rFonts w:cstheme="minorHAnsi"/>
        </w:rPr>
        <w:t>or a related field;</w:t>
      </w:r>
    </w:p>
    <w:p w14:paraId="6188328E" w14:textId="57F31B36" w:rsidR="00F82C54" w:rsidRPr="00AB4DB2" w:rsidRDefault="00F82C54" w:rsidP="00F82C54">
      <w:pPr>
        <w:pStyle w:val="ListParagraph"/>
        <w:numPr>
          <w:ilvl w:val="0"/>
          <w:numId w:val="24"/>
        </w:numPr>
        <w:suppressAutoHyphens w:val="0"/>
        <w:spacing w:after="200" w:line="276" w:lineRule="auto"/>
        <w:jc w:val="both"/>
        <w:rPr>
          <w:rFonts w:cstheme="minorHAnsi"/>
        </w:rPr>
      </w:pPr>
      <w:r w:rsidRPr="00AB4DB2">
        <w:rPr>
          <w:rFonts w:cstheme="minorHAnsi"/>
        </w:rPr>
        <w:t xml:space="preserve">Has at least </w:t>
      </w:r>
      <w:r w:rsidR="009B2859" w:rsidRPr="00AB4DB2">
        <w:rPr>
          <w:rFonts w:cstheme="minorHAnsi"/>
        </w:rPr>
        <w:t>5</w:t>
      </w:r>
      <w:r w:rsidRPr="00AB4DB2">
        <w:rPr>
          <w:rFonts w:cstheme="minorHAnsi"/>
        </w:rPr>
        <w:t xml:space="preserve"> years of </w:t>
      </w:r>
      <w:r w:rsidRPr="00AB4DB2">
        <w:rPr>
          <w:rFonts w:eastAsia="Calibri"/>
        </w:rPr>
        <w:t xml:space="preserve">professional </w:t>
      </w:r>
      <w:r w:rsidRPr="00AB4DB2">
        <w:rPr>
          <w:rFonts w:cstheme="minorHAnsi"/>
        </w:rPr>
        <w:t xml:space="preserve">experience in journalism, working with media and media relations </w:t>
      </w:r>
    </w:p>
    <w:p w14:paraId="1BC5EE75" w14:textId="43A27543" w:rsidR="00F82C54" w:rsidRPr="00AB4DB2" w:rsidRDefault="00F82C54" w:rsidP="00F82C54">
      <w:pPr>
        <w:pStyle w:val="ListParagraph"/>
        <w:numPr>
          <w:ilvl w:val="0"/>
          <w:numId w:val="24"/>
        </w:numPr>
        <w:suppressAutoHyphens w:val="0"/>
        <w:spacing w:after="200" w:line="276" w:lineRule="auto"/>
        <w:jc w:val="both"/>
        <w:rPr>
          <w:rFonts w:cstheme="minorHAnsi"/>
        </w:rPr>
      </w:pPr>
      <w:r w:rsidRPr="00AB4DB2">
        <w:rPr>
          <w:rFonts w:cstheme="minorHAnsi"/>
        </w:rPr>
        <w:t>Experience in provision of media relation services and media campaigns for Serbian government administration bodies will be considered an asset.</w:t>
      </w:r>
    </w:p>
    <w:p w14:paraId="64DF71B4" w14:textId="074E50EC" w:rsidR="003A1717" w:rsidRPr="00AB4DB2" w:rsidRDefault="003A1717" w:rsidP="00F82C54">
      <w:pPr>
        <w:pStyle w:val="ListParagraph"/>
        <w:numPr>
          <w:ilvl w:val="0"/>
          <w:numId w:val="24"/>
        </w:numPr>
        <w:suppressAutoHyphens w:val="0"/>
        <w:spacing w:after="200" w:line="276" w:lineRule="auto"/>
        <w:jc w:val="both"/>
        <w:rPr>
          <w:rFonts w:cstheme="minorHAnsi"/>
        </w:rPr>
      </w:pPr>
      <w:r w:rsidRPr="00AB4DB2">
        <w:rPr>
          <w:rFonts w:cstheme="minorHAnsi"/>
        </w:rPr>
        <w:t>Experience in training and knowledge transfer in the area of communication and public relation for the government administration staff will be considered an asset.</w:t>
      </w:r>
    </w:p>
    <w:p w14:paraId="3C13470C" w14:textId="0108AFB1" w:rsidR="00F82C54" w:rsidRPr="00AB4DB2" w:rsidRDefault="00F82C54" w:rsidP="009E7309">
      <w:pPr>
        <w:pStyle w:val="ListParagraph"/>
        <w:numPr>
          <w:ilvl w:val="0"/>
          <w:numId w:val="24"/>
        </w:numPr>
        <w:suppressAutoHyphens w:val="0"/>
        <w:spacing w:after="200" w:line="276" w:lineRule="auto"/>
        <w:jc w:val="both"/>
        <w:rPr>
          <w:rFonts w:cstheme="minorHAnsi"/>
        </w:rPr>
      </w:pPr>
      <w:r w:rsidRPr="00AB4DB2">
        <w:rPr>
          <w:rFonts w:cstheme="minorHAnsi"/>
        </w:rPr>
        <w:t>Excellent written and spoken skills in English and Serbian language.</w:t>
      </w:r>
    </w:p>
    <w:bookmarkEnd w:id="4"/>
    <w:p w14:paraId="3CBD507B" w14:textId="77777777" w:rsidR="00C4127C" w:rsidRPr="00AB4DB2" w:rsidRDefault="00C4127C" w:rsidP="0054662E">
      <w:pPr>
        <w:jc w:val="both"/>
        <w:rPr>
          <w:rFonts w:eastAsia="Calibri"/>
          <w:b/>
        </w:rPr>
      </w:pPr>
    </w:p>
    <w:p w14:paraId="101BD94E" w14:textId="77777777" w:rsidR="004056AA" w:rsidRPr="00AB4DB2" w:rsidRDefault="004056AA" w:rsidP="004056AA">
      <w:pPr>
        <w:pStyle w:val="Heading2"/>
      </w:pPr>
      <w:r w:rsidRPr="00AB4DB2">
        <w:t xml:space="preserve">Language </w:t>
      </w:r>
    </w:p>
    <w:p w14:paraId="70E158E2" w14:textId="52E57D40" w:rsidR="004056AA" w:rsidRPr="00AB4DB2" w:rsidRDefault="004056AA" w:rsidP="004056AA">
      <w:pPr>
        <w:pStyle w:val="Text"/>
      </w:pPr>
      <w:r w:rsidRPr="00AB4DB2">
        <w:t xml:space="preserve">Official language of the contract is English. However, the Consultant shall maintain written and oral correspondence with the </w:t>
      </w:r>
      <w:r w:rsidR="003714CB" w:rsidRPr="00AB4DB2">
        <w:t xml:space="preserve">Client </w:t>
      </w:r>
      <w:r w:rsidR="008D2FB6" w:rsidRPr="00AB4DB2">
        <w:t>and</w:t>
      </w:r>
      <w:r w:rsidRPr="00AB4DB2">
        <w:t xml:space="preserve"> other stakeholders in Serbian language. </w:t>
      </w:r>
    </w:p>
    <w:p w14:paraId="21DD441F" w14:textId="4902D512" w:rsidR="00A41D1D" w:rsidRPr="00AB4DB2" w:rsidRDefault="00A41D1D" w:rsidP="00A41D1D">
      <w:pPr>
        <w:pStyle w:val="Text"/>
      </w:pPr>
      <w:r w:rsidRPr="00AB4DB2">
        <w:tab/>
      </w:r>
    </w:p>
    <w:p w14:paraId="65432945" w14:textId="77D63CA4" w:rsidR="0054662E" w:rsidRPr="00AB4DB2" w:rsidRDefault="0054662E" w:rsidP="0054662E">
      <w:pPr>
        <w:keepNext/>
        <w:keepLines/>
        <w:tabs>
          <w:tab w:val="left" w:pos="935"/>
          <w:tab w:val="left" w:pos="1440"/>
        </w:tabs>
        <w:spacing w:after="200" w:line="276" w:lineRule="auto"/>
        <w:jc w:val="both"/>
        <w:outlineLvl w:val="1"/>
        <w:rPr>
          <w:i/>
          <w:iCs/>
        </w:rPr>
      </w:pPr>
      <w:r w:rsidRPr="00AB4DB2">
        <w:rPr>
          <w:b/>
        </w:rPr>
        <w:t>Input by the Client</w:t>
      </w:r>
    </w:p>
    <w:p w14:paraId="5C933526" w14:textId="645D3CEC" w:rsidR="0054662E" w:rsidRPr="00AB4DB2" w:rsidRDefault="0054662E" w:rsidP="0054662E">
      <w:pPr>
        <w:jc w:val="both"/>
      </w:pPr>
      <w:r w:rsidRPr="00AB4DB2">
        <w:t xml:space="preserve">The </w:t>
      </w:r>
      <w:r w:rsidR="00FF73C6" w:rsidRPr="00AB4DB2">
        <w:t xml:space="preserve">Client </w:t>
      </w:r>
      <w:r w:rsidR="00D33F75">
        <w:t xml:space="preserve">shall </w:t>
      </w:r>
      <w:r w:rsidR="00A445DC" w:rsidRPr="00AB4DB2">
        <w:t xml:space="preserve">appoint the Key Contact Person to provide all of the necessary input and </w:t>
      </w:r>
      <w:r w:rsidRPr="00AB4DB2">
        <w:t>will make available the meeting rooms and basic technical equipment (beam projector, etc.) of the Client for the meetings</w:t>
      </w:r>
      <w:r w:rsidR="00A445DC" w:rsidRPr="00AB4DB2">
        <w:t>,</w:t>
      </w:r>
      <w:r w:rsidRPr="00AB4DB2">
        <w:t xml:space="preserve"> as well as interviews</w:t>
      </w:r>
      <w:r w:rsidR="00A445DC" w:rsidRPr="00AB4DB2">
        <w:t>, as needed</w:t>
      </w:r>
      <w:r w:rsidRPr="00AB4DB2">
        <w:t xml:space="preserve"> during </w:t>
      </w:r>
      <w:r w:rsidR="00A445DC" w:rsidRPr="00AB4DB2">
        <w:t>the assignment</w:t>
      </w:r>
      <w:r w:rsidRPr="00AB4DB2">
        <w:t xml:space="preserve">. The </w:t>
      </w:r>
      <w:r w:rsidR="003714CB" w:rsidRPr="00AB4DB2">
        <w:t>Client</w:t>
      </w:r>
      <w:r w:rsidRPr="00AB4DB2">
        <w:t xml:space="preserve"> support and involvement in certain work steps, </w:t>
      </w:r>
      <w:r w:rsidR="00A445DC" w:rsidRPr="00AB4DB2">
        <w:t xml:space="preserve">and </w:t>
      </w:r>
      <w:r w:rsidRPr="00AB4DB2">
        <w:t xml:space="preserve">participation in the workshops planned will be </w:t>
      </w:r>
      <w:r w:rsidR="00A445DC" w:rsidRPr="00AB4DB2">
        <w:t xml:space="preserve">fully </w:t>
      </w:r>
      <w:r w:rsidRPr="00AB4DB2">
        <w:t>provided.</w:t>
      </w:r>
    </w:p>
    <w:p w14:paraId="166AE107" w14:textId="3498FF66" w:rsidR="0054662E" w:rsidRPr="00AB4DB2" w:rsidRDefault="0054662E" w:rsidP="00BD1390"/>
    <w:p w14:paraId="6C8ABD0D" w14:textId="008EE211" w:rsidR="00A41D1D" w:rsidRPr="00AB4DB2" w:rsidRDefault="00A41D1D" w:rsidP="00BD1390">
      <w:pPr>
        <w:rPr>
          <w:b/>
        </w:rPr>
      </w:pPr>
      <w:r w:rsidRPr="00AB4DB2">
        <w:rPr>
          <w:b/>
        </w:rPr>
        <w:t xml:space="preserve">Selection </w:t>
      </w:r>
    </w:p>
    <w:p w14:paraId="04835C0E" w14:textId="77777777" w:rsidR="00A41D1D" w:rsidRPr="00AB4DB2" w:rsidRDefault="00A41D1D" w:rsidP="00BD1390">
      <w:pPr>
        <w:rPr>
          <w:b/>
        </w:rPr>
      </w:pPr>
    </w:p>
    <w:p w14:paraId="0ECA5535" w14:textId="3752B10D" w:rsidR="00A41D1D" w:rsidRPr="00AB4DB2" w:rsidRDefault="00A41D1D" w:rsidP="00A41D1D">
      <w:pPr>
        <w:pStyle w:val="BodyText"/>
        <w:ind w:left="101" w:right="113"/>
      </w:pPr>
      <w:r w:rsidRPr="00AB4DB2">
        <w:t xml:space="preserve">The Consultant will be selected in accordance with CQS method set out in the World Bank’s Procurement Regulations for IPF Borrowers (July 2016, revised November 2017, August 2018. </w:t>
      </w:r>
      <w:r w:rsidR="00AB4DB2" w:rsidRPr="00AB4DB2">
        <w:t>a</w:t>
      </w:r>
      <w:r w:rsidRPr="00AB4DB2">
        <w:t>nd</w:t>
      </w:r>
      <w:r w:rsidR="00AB4DB2" w:rsidRPr="00AB4DB2">
        <w:t xml:space="preserve"> </w:t>
      </w:r>
      <w:r w:rsidRPr="00AB4DB2">
        <w:t>November 2020).</w:t>
      </w:r>
    </w:p>
    <w:p w14:paraId="03338F79" w14:textId="77777777" w:rsidR="00A41D1D" w:rsidRPr="00AB4DB2" w:rsidRDefault="00A41D1D" w:rsidP="00A41D1D"/>
    <w:p w14:paraId="6C13D7CA" w14:textId="77777777" w:rsidR="00A41D1D" w:rsidRPr="00AB4DB2" w:rsidRDefault="00A41D1D" w:rsidP="00A41D1D">
      <w:pPr>
        <w:pStyle w:val="BodyText"/>
        <w:ind w:left="101" w:right="113"/>
        <w:rPr>
          <w:u w:val="single"/>
        </w:rPr>
      </w:pPr>
      <w:r w:rsidRPr="00AB4DB2">
        <w:rPr>
          <w:u w:val="single"/>
        </w:rPr>
        <w:t>Expressions of interest will be evaluated based on the following criteria:</w:t>
      </w:r>
    </w:p>
    <w:p w14:paraId="504A617C" w14:textId="77777777" w:rsidR="00A41D1D" w:rsidRPr="00AB4DB2" w:rsidRDefault="00A41D1D" w:rsidP="00A41D1D">
      <w:pPr>
        <w:rPr>
          <w:b/>
          <w:bCs/>
        </w:rPr>
      </w:pPr>
    </w:p>
    <w:tbl>
      <w:tblPr>
        <w:tblStyle w:val="TableGrid"/>
        <w:tblW w:w="0" w:type="auto"/>
        <w:tblInd w:w="-5" w:type="dxa"/>
        <w:tblLook w:val="04A0" w:firstRow="1" w:lastRow="0" w:firstColumn="1" w:lastColumn="0" w:noHBand="0" w:noVBand="1"/>
      </w:tblPr>
      <w:tblGrid>
        <w:gridCol w:w="4469"/>
        <w:gridCol w:w="4401"/>
      </w:tblGrid>
      <w:tr w:rsidR="00A41D1D" w:rsidRPr="00AB4DB2" w14:paraId="0CBD0D66" w14:textId="77777777" w:rsidTr="00EC4E2F">
        <w:tc>
          <w:tcPr>
            <w:tcW w:w="4469" w:type="dxa"/>
            <w:vAlign w:val="center"/>
          </w:tcPr>
          <w:p w14:paraId="508AC19D" w14:textId="41F570A3" w:rsidR="00A41D1D" w:rsidRPr="00AB4DB2" w:rsidRDefault="00A552CE" w:rsidP="00EC4E2F">
            <w:pPr>
              <w:pStyle w:val="ListParagraph"/>
              <w:ind w:left="0"/>
            </w:pPr>
            <w:r w:rsidRPr="00AB4DB2">
              <w:rPr>
                <w:color w:val="000000"/>
              </w:rPr>
              <w:t>General experience in the field of assignment</w:t>
            </w:r>
            <w:r w:rsidRPr="00AB4DB2" w:rsidDel="00A552CE">
              <w:t xml:space="preserve"> </w:t>
            </w:r>
          </w:p>
        </w:tc>
        <w:tc>
          <w:tcPr>
            <w:tcW w:w="4401" w:type="dxa"/>
            <w:vAlign w:val="center"/>
          </w:tcPr>
          <w:p w14:paraId="76328FA1" w14:textId="11D00D43" w:rsidR="00A41D1D" w:rsidRPr="00AB4DB2" w:rsidRDefault="003F49A9" w:rsidP="00EC4E2F">
            <w:pPr>
              <w:pStyle w:val="ListParagraph"/>
              <w:ind w:left="0"/>
            </w:pPr>
            <w:r>
              <w:t>50</w:t>
            </w:r>
            <w:r w:rsidR="00D33F75" w:rsidRPr="00AB4DB2">
              <w:t xml:space="preserve"> </w:t>
            </w:r>
            <w:r w:rsidR="00A41D1D" w:rsidRPr="00AB4DB2">
              <w:t>points</w:t>
            </w:r>
          </w:p>
        </w:tc>
      </w:tr>
      <w:tr w:rsidR="00017F16" w:rsidRPr="00AB4DB2" w14:paraId="2D5FFEEB" w14:textId="77777777" w:rsidTr="009145D8">
        <w:tc>
          <w:tcPr>
            <w:tcW w:w="4469" w:type="dxa"/>
          </w:tcPr>
          <w:p w14:paraId="4BB7C9E9" w14:textId="7FEEEE82" w:rsidR="00017F16" w:rsidRPr="00AB4DB2" w:rsidRDefault="00A552CE" w:rsidP="00017F16">
            <w:pPr>
              <w:pStyle w:val="ListParagraph"/>
              <w:ind w:left="0"/>
            </w:pPr>
            <w:r w:rsidRPr="00AB4DB2">
              <w:t>Consultant’s specific experience related to the assignment</w:t>
            </w:r>
          </w:p>
        </w:tc>
        <w:tc>
          <w:tcPr>
            <w:tcW w:w="4401" w:type="dxa"/>
            <w:vAlign w:val="center"/>
          </w:tcPr>
          <w:p w14:paraId="64C9D0E6" w14:textId="75997876" w:rsidR="00017F16" w:rsidRPr="00AB4DB2" w:rsidRDefault="003F49A9" w:rsidP="00017F16">
            <w:pPr>
              <w:pStyle w:val="ListParagraph"/>
              <w:ind w:left="0"/>
            </w:pPr>
            <w:r>
              <w:t>5</w:t>
            </w:r>
            <w:r w:rsidR="00D33F75" w:rsidRPr="00AB4DB2">
              <w:t xml:space="preserve">0 </w:t>
            </w:r>
            <w:r w:rsidR="00017F16" w:rsidRPr="00AB4DB2">
              <w:t>points</w:t>
            </w:r>
          </w:p>
        </w:tc>
      </w:tr>
      <w:tr w:rsidR="00017F16" w:rsidRPr="00AB4DB2" w14:paraId="36D5FA77" w14:textId="77777777" w:rsidTr="009145D8">
        <w:tc>
          <w:tcPr>
            <w:tcW w:w="4469" w:type="dxa"/>
          </w:tcPr>
          <w:p w14:paraId="56C33E68" w14:textId="0C40F481" w:rsidR="00017F16" w:rsidRPr="00AB4DB2" w:rsidRDefault="00017F16" w:rsidP="00017F16">
            <w:pPr>
              <w:pStyle w:val="ListParagraph"/>
              <w:ind w:left="0"/>
              <w:rPr>
                <w:b/>
                <w:bCs/>
              </w:rPr>
            </w:pPr>
          </w:p>
        </w:tc>
        <w:tc>
          <w:tcPr>
            <w:tcW w:w="4401" w:type="dxa"/>
            <w:vAlign w:val="center"/>
          </w:tcPr>
          <w:p w14:paraId="1B3E0F19" w14:textId="77777777" w:rsidR="00017F16" w:rsidRPr="00AB4DB2" w:rsidRDefault="00017F16" w:rsidP="00017F16">
            <w:pPr>
              <w:pStyle w:val="ListParagraph"/>
              <w:ind w:left="0"/>
              <w:rPr>
                <w:b/>
                <w:bCs/>
              </w:rPr>
            </w:pPr>
            <w:r w:rsidRPr="00AB4DB2">
              <w:rPr>
                <w:b/>
                <w:bCs/>
              </w:rPr>
              <w:t>100 POINTS</w:t>
            </w:r>
          </w:p>
        </w:tc>
      </w:tr>
    </w:tbl>
    <w:p w14:paraId="29B428AA" w14:textId="5F9B8F71" w:rsidR="00A86337" w:rsidRPr="00AB4DB2" w:rsidRDefault="00A86337" w:rsidP="00A82FB8"/>
    <w:sectPr w:rsidR="00A86337" w:rsidRPr="00AB4DB2">
      <w:headerReference w:type="default" r:id="rId11"/>
      <w:footerReference w:type="even" r:id="rId12"/>
      <w:footerReference w:type="default" r:id="rId13"/>
      <w:footerReference w:type="first" r:id="rId14"/>
      <w:pgSz w:w="12240" w:h="15840"/>
      <w:pgMar w:top="864" w:right="1440" w:bottom="1296"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A2E8B" w14:textId="77777777" w:rsidR="00BD35BA" w:rsidRDefault="00BD35BA">
      <w:r>
        <w:separator/>
      </w:r>
    </w:p>
  </w:endnote>
  <w:endnote w:type="continuationSeparator" w:id="0">
    <w:p w14:paraId="088AB8F8" w14:textId="77777777" w:rsidR="00BD35BA" w:rsidRDefault="00BD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8D8EF" w14:textId="6F663B7C" w:rsidR="00047CB2" w:rsidRDefault="00047CB2">
    <w:pPr>
      <w:pStyle w:val="Footer"/>
    </w:pPr>
    <w:r>
      <w:rPr>
        <w:noProof/>
        <w:lang w:val="en-US" w:eastAsia="en-US"/>
      </w:rPr>
      <mc:AlternateContent>
        <mc:Choice Requires="wps">
          <w:drawing>
            <wp:anchor distT="0" distB="0" distL="0" distR="0" simplePos="0" relativeHeight="251659264" behindDoc="0" locked="0" layoutInCell="1" allowOverlap="1" wp14:anchorId="4005018D" wp14:editId="174B8C9D">
              <wp:simplePos x="635" y="635"/>
              <wp:positionH relativeFrom="page">
                <wp:align>right</wp:align>
              </wp:positionH>
              <wp:positionV relativeFrom="page">
                <wp:align>bottom</wp:align>
              </wp:positionV>
              <wp:extent cx="1106805" cy="345440"/>
              <wp:effectExtent l="0" t="0" r="0" b="0"/>
              <wp:wrapNone/>
              <wp:docPr id="100161822" name="Text Box 2" descr="Official Use Only">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9E37370" w14:textId="25D08DDE" w:rsidR="00047CB2" w:rsidRPr="00047CB2" w:rsidRDefault="00047CB2" w:rsidP="00047CB2">
                          <w:pPr>
                            <w:rPr>
                              <w:rFonts w:ascii="Calibri" w:eastAsia="Calibri" w:hAnsi="Calibri" w:cs="Calibri"/>
                              <w:noProof/>
                              <w:color w:val="000000"/>
                              <w:sz w:val="20"/>
                              <w:szCs w:val="20"/>
                            </w:rPr>
                          </w:pPr>
                          <w:r w:rsidRPr="00047CB2">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05018D"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" filled="f" stroked="f">
              <v:textbox style="mso-fit-shape-to-text:t" inset="0,0,20pt,15pt">
                <w:txbxContent>
                  <w:p w14:paraId="79E37370" w14:textId="25D08DDE" w:rsidR="00047CB2" w:rsidRPr="00047CB2" w:rsidRDefault="00047CB2" w:rsidP="00047CB2">
                    <w:pPr>
                      <w:rPr>
                        <w:rFonts w:ascii="Calibri" w:eastAsia="Calibri" w:hAnsi="Calibri" w:cs="Calibri"/>
                        <w:noProof/>
                        <w:color w:val="000000"/>
                        <w:sz w:val="20"/>
                        <w:szCs w:val="20"/>
                      </w:rPr>
                    </w:pPr>
                    <w:r w:rsidRPr="00047CB2">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5B87A" w14:textId="0962FC74" w:rsidR="00EC4E2F" w:rsidRDefault="00047CB2">
    <w:pPr>
      <w:pStyle w:val="Footer"/>
      <w:jc w:val="right"/>
      <w:rPr>
        <w:sz w:val="18"/>
        <w:szCs w:val="18"/>
      </w:rPr>
    </w:pPr>
    <w:r>
      <w:rPr>
        <w:noProof/>
        <w:lang w:val="en-US" w:eastAsia="en-US"/>
      </w:rPr>
      <mc:AlternateContent>
        <mc:Choice Requires="wps">
          <w:drawing>
            <wp:anchor distT="0" distB="0" distL="0" distR="0" simplePos="0" relativeHeight="251660288" behindDoc="0" locked="0" layoutInCell="1" allowOverlap="1" wp14:anchorId="40156646" wp14:editId="63D45492">
              <wp:simplePos x="914400" y="9296400"/>
              <wp:positionH relativeFrom="page">
                <wp:align>right</wp:align>
              </wp:positionH>
              <wp:positionV relativeFrom="page">
                <wp:align>bottom</wp:align>
              </wp:positionV>
              <wp:extent cx="1106805" cy="345440"/>
              <wp:effectExtent l="0" t="0" r="0" b="0"/>
              <wp:wrapNone/>
              <wp:docPr id="368083915" name="Text Box 3" descr="Official Use Only">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178F7BE" w14:textId="18C4E062" w:rsidR="00047CB2" w:rsidRPr="00047CB2" w:rsidRDefault="00047CB2" w:rsidP="00047CB2">
                          <w:pPr>
                            <w:rPr>
                              <w:rFonts w:ascii="Calibri" w:eastAsia="Calibri" w:hAnsi="Calibri" w:cs="Calibri"/>
                              <w:noProof/>
                              <w:color w:val="000000"/>
                              <w:sz w:val="20"/>
                              <w:szCs w:val="20"/>
                            </w:rPr>
                          </w:pPr>
                          <w:r w:rsidRPr="00047CB2">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156646"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" filled="f" stroked="f">
              <v:textbox style="mso-fit-shape-to-text:t" inset="0,0,20pt,15pt">
                <w:txbxContent>
                  <w:p w14:paraId="0178F7BE" w14:textId="18C4E062" w:rsidR="00047CB2" w:rsidRPr="00047CB2" w:rsidRDefault="00047CB2" w:rsidP="00047CB2">
                    <w:pPr>
                      <w:rPr>
                        <w:rFonts w:ascii="Calibri" w:eastAsia="Calibri" w:hAnsi="Calibri" w:cs="Calibri"/>
                        <w:noProof/>
                        <w:color w:val="000000"/>
                        <w:sz w:val="20"/>
                        <w:szCs w:val="20"/>
                      </w:rPr>
                    </w:pPr>
                    <w:r w:rsidRPr="00047CB2">
                      <w:rPr>
                        <w:rFonts w:ascii="Calibri" w:eastAsia="Calibri" w:hAnsi="Calibri" w:cs="Calibri"/>
                        <w:noProof/>
                        <w:color w:val="000000"/>
                        <w:sz w:val="20"/>
                        <w:szCs w:val="20"/>
                      </w:rPr>
                      <w:t>Official Use Only</w:t>
                    </w:r>
                  </w:p>
                </w:txbxContent>
              </v:textbox>
              <w10:wrap anchorx="page" anchory="page"/>
            </v:shape>
          </w:pict>
        </mc:Fallback>
      </mc:AlternateContent>
    </w:r>
    <w:r w:rsidR="00EC4E2F">
      <w:t xml:space="preserve">Page </w:t>
    </w:r>
    <w:r w:rsidR="00EC4E2F">
      <w:rPr>
        <w:b/>
        <w:bCs/>
      </w:rPr>
      <w:fldChar w:fldCharType="begin"/>
    </w:r>
    <w:r w:rsidR="00EC4E2F">
      <w:rPr>
        <w:b/>
        <w:bCs/>
      </w:rPr>
      <w:instrText xml:space="preserve"> PAGE </w:instrText>
    </w:r>
    <w:r w:rsidR="00EC4E2F">
      <w:rPr>
        <w:b/>
        <w:bCs/>
      </w:rPr>
      <w:fldChar w:fldCharType="separate"/>
    </w:r>
    <w:r w:rsidR="00AA3A0A">
      <w:rPr>
        <w:b/>
        <w:bCs/>
        <w:noProof/>
      </w:rPr>
      <w:t>8</w:t>
    </w:r>
    <w:r w:rsidR="00EC4E2F">
      <w:rPr>
        <w:b/>
        <w:bCs/>
      </w:rPr>
      <w:fldChar w:fldCharType="end"/>
    </w:r>
    <w:r w:rsidR="00EC4E2F">
      <w:t xml:space="preserve"> of </w:t>
    </w:r>
    <w:r w:rsidR="00EC4E2F">
      <w:rPr>
        <w:b/>
        <w:bCs/>
      </w:rPr>
      <w:fldChar w:fldCharType="begin"/>
    </w:r>
    <w:r w:rsidR="00EC4E2F">
      <w:rPr>
        <w:b/>
        <w:bCs/>
      </w:rPr>
      <w:instrText xml:space="preserve"> NUMPAGES \*Arabic </w:instrText>
    </w:r>
    <w:r w:rsidR="00EC4E2F">
      <w:rPr>
        <w:b/>
        <w:bCs/>
      </w:rPr>
      <w:fldChar w:fldCharType="separate"/>
    </w:r>
    <w:r w:rsidR="00AA3A0A">
      <w:rPr>
        <w:b/>
        <w:bCs/>
        <w:noProof/>
      </w:rPr>
      <w:t>10</w:t>
    </w:r>
    <w:r w:rsidR="00EC4E2F">
      <w:rPr>
        <w:b/>
        <w:bCs/>
      </w:rPr>
      <w:fldChar w:fldCharType="end"/>
    </w:r>
  </w:p>
  <w:p w14:paraId="0A330E65" w14:textId="77777777" w:rsidR="00EC4E2F" w:rsidRDefault="00EC4E2F">
    <w:pPr>
      <w:pStyle w:val="Footer"/>
      <w:ind w:right="360"/>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C7903" w14:textId="6D3D5EE1" w:rsidR="00047CB2" w:rsidRDefault="00047CB2">
    <w:pPr>
      <w:pStyle w:val="Footer"/>
    </w:pPr>
    <w:r>
      <w:rPr>
        <w:noProof/>
        <w:lang w:val="en-US" w:eastAsia="en-US"/>
      </w:rPr>
      <mc:AlternateContent>
        <mc:Choice Requires="wps">
          <w:drawing>
            <wp:anchor distT="0" distB="0" distL="0" distR="0" simplePos="0" relativeHeight="251658240" behindDoc="0" locked="0" layoutInCell="1" allowOverlap="1" wp14:anchorId="666DDA0B" wp14:editId="67A978B4">
              <wp:simplePos x="635" y="635"/>
              <wp:positionH relativeFrom="page">
                <wp:align>right</wp:align>
              </wp:positionH>
              <wp:positionV relativeFrom="page">
                <wp:align>bottom</wp:align>
              </wp:positionV>
              <wp:extent cx="1106805" cy="345440"/>
              <wp:effectExtent l="0" t="0" r="0" b="0"/>
              <wp:wrapNone/>
              <wp:docPr id="1228335129" name="Text Box 1" descr="Official Use Only">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81FF8A8" w14:textId="6D930877" w:rsidR="00047CB2" w:rsidRPr="00047CB2" w:rsidRDefault="00047CB2" w:rsidP="00047CB2">
                          <w:pPr>
                            <w:rPr>
                              <w:rFonts w:ascii="Calibri" w:eastAsia="Calibri" w:hAnsi="Calibri" w:cs="Calibri"/>
                              <w:noProof/>
                              <w:color w:val="000000"/>
                              <w:sz w:val="20"/>
                              <w:szCs w:val="20"/>
                            </w:rPr>
                          </w:pPr>
                          <w:r w:rsidRPr="00047CB2">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6DDA0B"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" filled="f" stroked="f">
              <v:textbox style="mso-fit-shape-to-text:t" inset="0,0,20pt,15pt">
                <w:txbxContent>
                  <w:p w14:paraId="281FF8A8" w14:textId="6D930877" w:rsidR="00047CB2" w:rsidRPr="00047CB2" w:rsidRDefault="00047CB2" w:rsidP="00047CB2">
                    <w:pPr>
                      <w:rPr>
                        <w:rFonts w:ascii="Calibri" w:eastAsia="Calibri" w:hAnsi="Calibri" w:cs="Calibri"/>
                        <w:noProof/>
                        <w:color w:val="000000"/>
                        <w:sz w:val="20"/>
                        <w:szCs w:val="20"/>
                      </w:rPr>
                    </w:pPr>
                    <w:r w:rsidRPr="00047CB2">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F6085" w14:textId="77777777" w:rsidR="00BD35BA" w:rsidRDefault="00BD35BA">
      <w:r>
        <w:separator/>
      </w:r>
    </w:p>
  </w:footnote>
  <w:footnote w:type="continuationSeparator" w:id="0">
    <w:p w14:paraId="45B0A785" w14:textId="77777777" w:rsidR="00BD35BA" w:rsidRDefault="00BD35BA">
      <w:r>
        <w:continuationSeparator/>
      </w:r>
    </w:p>
  </w:footnote>
  <w:footnote w:id="1">
    <w:p w14:paraId="3B578BBE" w14:textId="77A2947D" w:rsidR="00CD5464" w:rsidRPr="00973359" w:rsidRDefault="00CD5464">
      <w:pPr>
        <w:pStyle w:val="FootnoteText"/>
        <w:rPr>
          <w:lang w:val="sr-Latn-RS"/>
        </w:rPr>
      </w:pPr>
      <w:r>
        <w:rPr>
          <w:rStyle w:val="FootnoteReference"/>
        </w:rPr>
        <w:footnoteRef/>
      </w:r>
      <w:r>
        <w:t xml:space="preserve"> Media briefings should not include participants in attendance.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A728D" w14:textId="77777777" w:rsidR="00EC4E2F" w:rsidRDefault="00EC4E2F">
    <w:pPr>
      <w:tabs>
        <w:tab w:val="center" w:pos="4702"/>
      </w:tabs>
      <w:jc w:val="both"/>
    </w:pPr>
  </w:p>
  <w:p w14:paraId="6A496D14" w14:textId="77777777" w:rsidR="00EC4E2F" w:rsidRDefault="00EC4E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4F44"/>
    <w:multiLevelType w:val="multilevel"/>
    <w:tmpl w:val="6716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B1B6B"/>
    <w:multiLevelType w:val="multilevel"/>
    <w:tmpl w:val="2AC89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E004F"/>
    <w:multiLevelType w:val="multilevel"/>
    <w:tmpl w:val="12441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D620E"/>
    <w:multiLevelType w:val="multilevel"/>
    <w:tmpl w:val="DC94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B33F0"/>
    <w:multiLevelType w:val="multilevel"/>
    <w:tmpl w:val="7D06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86F57"/>
    <w:multiLevelType w:val="multilevel"/>
    <w:tmpl w:val="765E6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95E56"/>
    <w:multiLevelType w:val="hybridMultilevel"/>
    <w:tmpl w:val="9C4A4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8749D"/>
    <w:multiLevelType w:val="multilevel"/>
    <w:tmpl w:val="F20A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45F41"/>
    <w:multiLevelType w:val="multilevel"/>
    <w:tmpl w:val="3B9E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B66F1"/>
    <w:multiLevelType w:val="hybridMultilevel"/>
    <w:tmpl w:val="06B48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F78B2"/>
    <w:multiLevelType w:val="multilevel"/>
    <w:tmpl w:val="295E5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552BF"/>
    <w:multiLevelType w:val="multilevel"/>
    <w:tmpl w:val="3E86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04DD4"/>
    <w:multiLevelType w:val="hybridMultilevel"/>
    <w:tmpl w:val="2B3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D505B"/>
    <w:multiLevelType w:val="multilevel"/>
    <w:tmpl w:val="DF822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8F1CC0"/>
    <w:multiLevelType w:val="multilevel"/>
    <w:tmpl w:val="5F7A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934CB"/>
    <w:multiLevelType w:val="hybridMultilevel"/>
    <w:tmpl w:val="3916541C"/>
    <w:lvl w:ilvl="0" w:tplc="154C683A">
      <w:start w:val="1"/>
      <w:numFmt w:val="decimal"/>
      <w:lvlText w:val="%1."/>
      <w:lvlJc w:val="left"/>
      <w:pPr>
        <w:ind w:left="823" w:hanging="353"/>
      </w:pPr>
      <w:rPr>
        <w:rFonts w:ascii="Times New Roman" w:eastAsia="Times New Roman" w:hAnsi="Times New Roman" w:cs="Times New Roman" w:hint="default"/>
        <w:b/>
        <w:bCs/>
        <w:spacing w:val="0"/>
        <w:w w:val="100"/>
        <w:sz w:val="24"/>
        <w:szCs w:val="24"/>
        <w:lang w:val="en-US" w:eastAsia="en-US" w:bidi="ar-SA"/>
      </w:rPr>
    </w:lvl>
    <w:lvl w:ilvl="1" w:tplc="10062888">
      <w:numFmt w:val="bullet"/>
      <w:lvlText w:val="•"/>
      <w:lvlJc w:val="left"/>
      <w:pPr>
        <w:ind w:left="1698" w:hanging="353"/>
      </w:pPr>
      <w:rPr>
        <w:rFonts w:hint="default"/>
        <w:lang w:val="en-US" w:eastAsia="en-US" w:bidi="ar-SA"/>
      </w:rPr>
    </w:lvl>
    <w:lvl w:ilvl="2" w:tplc="56A0CDE4">
      <w:numFmt w:val="bullet"/>
      <w:lvlText w:val="•"/>
      <w:lvlJc w:val="left"/>
      <w:pPr>
        <w:ind w:left="2576" w:hanging="353"/>
      </w:pPr>
      <w:rPr>
        <w:rFonts w:hint="default"/>
        <w:lang w:val="en-US" w:eastAsia="en-US" w:bidi="ar-SA"/>
      </w:rPr>
    </w:lvl>
    <w:lvl w:ilvl="3" w:tplc="21F4F7E6">
      <w:numFmt w:val="bullet"/>
      <w:lvlText w:val="•"/>
      <w:lvlJc w:val="left"/>
      <w:pPr>
        <w:ind w:left="3454" w:hanging="353"/>
      </w:pPr>
      <w:rPr>
        <w:rFonts w:hint="default"/>
        <w:lang w:val="en-US" w:eastAsia="en-US" w:bidi="ar-SA"/>
      </w:rPr>
    </w:lvl>
    <w:lvl w:ilvl="4" w:tplc="E47285CE">
      <w:numFmt w:val="bullet"/>
      <w:lvlText w:val="•"/>
      <w:lvlJc w:val="left"/>
      <w:pPr>
        <w:ind w:left="4332" w:hanging="353"/>
      </w:pPr>
      <w:rPr>
        <w:rFonts w:hint="default"/>
        <w:lang w:val="en-US" w:eastAsia="en-US" w:bidi="ar-SA"/>
      </w:rPr>
    </w:lvl>
    <w:lvl w:ilvl="5" w:tplc="A29EFA34">
      <w:numFmt w:val="bullet"/>
      <w:lvlText w:val="•"/>
      <w:lvlJc w:val="left"/>
      <w:pPr>
        <w:ind w:left="5210" w:hanging="353"/>
      </w:pPr>
      <w:rPr>
        <w:rFonts w:hint="default"/>
        <w:lang w:val="en-US" w:eastAsia="en-US" w:bidi="ar-SA"/>
      </w:rPr>
    </w:lvl>
    <w:lvl w:ilvl="6" w:tplc="67F003F8">
      <w:numFmt w:val="bullet"/>
      <w:lvlText w:val="•"/>
      <w:lvlJc w:val="left"/>
      <w:pPr>
        <w:ind w:left="6088" w:hanging="353"/>
      </w:pPr>
      <w:rPr>
        <w:rFonts w:hint="default"/>
        <w:lang w:val="en-US" w:eastAsia="en-US" w:bidi="ar-SA"/>
      </w:rPr>
    </w:lvl>
    <w:lvl w:ilvl="7" w:tplc="91481752">
      <w:numFmt w:val="bullet"/>
      <w:lvlText w:val="•"/>
      <w:lvlJc w:val="left"/>
      <w:pPr>
        <w:ind w:left="6966" w:hanging="353"/>
      </w:pPr>
      <w:rPr>
        <w:rFonts w:hint="default"/>
        <w:lang w:val="en-US" w:eastAsia="en-US" w:bidi="ar-SA"/>
      </w:rPr>
    </w:lvl>
    <w:lvl w:ilvl="8" w:tplc="0186B8C0">
      <w:numFmt w:val="bullet"/>
      <w:lvlText w:val="•"/>
      <w:lvlJc w:val="left"/>
      <w:pPr>
        <w:ind w:left="7844" w:hanging="353"/>
      </w:pPr>
      <w:rPr>
        <w:rFonts w:hint="default"/>
        <w:lang w:val="en-US" w:eastAsia="en-US" w:bidi="ar-SA"/>
      </w:rPr>
    </w:lvl>
  </w:abstractNum>
  <w:abstractNum w:abstractNumId="16" w15:restartNumberingAfterBreak="0">
    <w:nsid w:val="3324194F"/>
    <w:multiLevelType w:val="multilevel"/>
    <w:tmpl w:val="63DA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0429FF"/>
    <w:multiLevelType w:val="multilevel"/>
    <w:tmpl w:val="CCCA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3D12A7"/>
    <w:multiLevelType w:val="multilevel"/>
    <w:tmpl w:val="7DA2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245014"/>
    <w:multiLevelType w:val="multilevel"/>
    <w:tmpl w:val="B726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8B1AE7"/>
    <w:multiLevelType w:val="multilevel"/>
    <w:tmpl w:val="80E2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A407DC"/>
    <w:multiLevelType w:val="multilevel"/>
    <w:tmpl w:val="4F26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610CC1"/>
    <w:multiLevelType w:val="multilevel"/>
    <w:tmpl w:val="05CE0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A10991"/>
    <w:multiLevelType w:val="multilevel"/>
    <w:tmpl w:val="5890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CB1EB1"/>
    <w:multiLevelType w:val="multilevel"/>
    <w:tmpl w:val="410828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27B0295"/>
    <w:multiLevelType w:val="multilevel"/>
    <w:tmpl w:val="70B0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2905B2"/>
    <w:multiLevelType w:val="multilevel"/>
    <w:tmpl w:val="649C4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696BA6"/>
    <w:multiLevelType w:val="multilevel"/>
    <w:tmpl w:val="2996C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14C7F"/>
    <w:multiLevelType w:val="hybridMultilevel"/>
    <w:tmpl w:val="92F2CC78"/>
    <w:lvl w:ilvl="0" w:tplc="8B467BE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FF925C8"/>
    <w:multiLevelType w:val="hybridMultilevel"/>
    <w:tmpl w:val="252AFE3C"/>
    <w:lvl w:ilvl="0" w:tplc="D8A85EF4">
      <w:start w:val="1"/>
      <w:numFmt w:val="decimal"/>
      <w:lvlText w:val="%1."/>
      <w:lvlJc w:val="left"/>
      <w:pPr>
        <w:ind w:left="1020" w:hanging="360"/>
      </w:pPr>
    </w:lvl>
    <w:lvl w:ilvl="1" w:tplc="0D5E37E6">
      <w:start w:val="1"/>
      <w:numFmt w:val="decimal"/>
      <w:lvlText w:val="%2."/>
      <w:lvlJc w:val="left"/>
      <w:pPr>
        <w:ind w:left="1020" w:hanging="360"/>
      </w:pPr>
    </w:lvl>
    <w:lvl w:ilvl="2" w:tplc="DFA8CF74">
      <w:start w:val="1"/>
      <w:numFmt w:val="decimal"/>
      <w:lvlText w:val="%3."/>
      <w:lvlJc w:val="left"/>
      <w:pPr>
        <w:ind w:left="1020" w:hanging="360"/>
      </w:pPr>
    </w:lvl>
    <w:lvl w:ilvl="3" w:tplc="16EEE97A">
      <w:start w:val="1"/>
      <w:numFmt w:val="decimal"/>
      <w:lvlText w:val="%4."/>
      <w:lvlJc w:val="left"/>
      <w:pPr>
        <w:ind w:left="1020" w:hanging="360"/>
      </w:pPr>
    </w:lvl>
    <w:lvl w:ilvl="4" w:tplc="90B61DD4">
      <w:start w:val="1"/>
      <w:numFmt w:val="decimal"/>
      <w:lvlText w:val="%5."/>
      <w:lvlJc w:val="left"/>
      <w:pPr>
        <w:ind w:left="1020" w:hanging="360"/>
      </w:pPr>
    </w:lvl>
    <w:lvl w:ilvl="5" w:tplc="D6DEBF52">
      <w:start w:val="1"/>
      <w:numFmt w:val="decimal"/>
      <w:lvlText w:val="%6."/>
      <w:lvlJc w:val="left"/>
      <w:pPr>
        <w:ind w:left="1020" w:hanging="360"/>
      </w:pPr>
    </w:lvl>
    <w:lvl w:ilvl="6" w:tplc="4058DEF4">
      <w:start w:val="1"/>
      <w:numFmt w:val="decimal"/>
      <w:lvlText w:val="%7."/>
      <w:lvlJc w:val="left"/>
      <w:pPr>
        <w:ind w:left="1020" w:hanging="360"/>
      </w:pPr>
    </w:lvl>
    <w:lvl w:ilvl="7" w:tplc="B7B423AC">
      <w:start w:val="1"/>
      <w:numFmt w:val="decimal"/>
      <w:lvlText w:val="%8."/>
      <w:lvlJc w:val="left"/>
      <w:pPr>
        <w:ind w:left="1020" w:hanging="360"/>
      </w:pPr>
    </w:lvl>
    <w:lvl w:ilvl="8" w:tplc="EA348700">
      <w:start w:val="1"/>
      <w:numFmt w:val="decimal"/>
      <w:lvlText w:val="%9."/>
      <w:lvlJc w:val="left"/>
      <w:pPr>
        <w:ind w:left="1020" w:hanging="360"/>
      </w:pPr>
    </w:lvl>
  </w:abstractNum>
  <w:abstractNum w:abstractNumId="30" w15:restartNumberingAfterBreak="0">
    <w:nsid w:val="6AD4133E"/>
    <w:multiLevelType w:val="multilevel"/>
    <w:tmpl w:val="A532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8F61DE"/>
    <w:multiLevelType w:val="multilevel"/>
    <w:tmpl w:val="880E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2F506D"/>
    <w:multiLevelType w:val="multilevel"/>
    <w:tmpl w:val="5B704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394CB5"/>
    <w:multiLevelType w:val="multilevel"/>
    <w:tmpl w:val="0F30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5C764F"/>
    <w:multiLevelType w:val="multilevel"/>
    <w:tmpl w:val="E72C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F4665"/>
    <w:multiLevelType w:val="multilevel"/>
    <w:tmpl w:val="C1405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AA49B9"/>
    <w:multiLevelType w:val="multilevel"/>
    <w:tmpl w:val="FEF21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CC1EA6"/>
    <w:multiLevelType w:val="hybridMultilevel"/>
    <w:tmpl w:val="F0E0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885284"/>
    <w:multiLevelType w:val="hybridMultilevel"/>
    <w:tmpl w:val="A5B0FE08"/>
    <w:lvl w:ilvl="0" w:tplc="0C8EFFF2">
      <w:start w:val="1"/>
      <w:numFmt w:val="decimal"/>
      <w:lvlText w:val="%1."/>
      <w:lvlJc w:val="left"/>
      <w:pPr>
        <w:ind w:left="1020" w:hanging="360"/>
      </w:pPr>
    </w:lvl>
    <w:lvl w:ilvl="1" w:tplc="8B107610">
      <w:start w:val="1"/>
      <w:numFmt w:val="decimal"/>
      <w:lvlText w:val="%2."/>
      <w:lvlJc w:val="left"/>
      <w:pPr>
        <w:ind w:left="1020" w:hanging="360"/>
      </w:pPr>
    </w:lvl>
    <w:lvl w:ilvl="2" w:tplc="CBCAB3F8">
      <w:start w:val="1"/>
      <w:numFmt w:val="decimal"/>
      <w:lvlText w:val="%3."/>
      <w:lvlJc w:val="left"/>
      <w:pPr>
        <w:ind w:left="1020" w:hanging="360"/>
      </w:pPr>
    </w:lvl>
    <w:lvl w:ilvl="3" w:tplc="B99647F6">
      <w:start w:val="1"/>
      <w:numFmt w:val="decimal"/>
      <w:lvlText w:val="%4."/>
      <w:lvlJc w:val="left"/>
      <w:pPr>
        <w:ind w:left="1020" w:hanging="360"/>
      </w:pPr>
    </w:lvl>
    <w:lvl w:ilvl="4" w:tplc="FF54D872">
      <w:start w:val="1"/>
      <w:numFmt w:val="decimal"/>
      <w:lvlText w:val="%5."/>
      <w:lvlJc w:val="left"/>
      <w:pPr>
        <w:ind w:left="1020" w:hanging="360"/>
      </w:pPr>
    </w:lvl>
    <w:lvl w:ilvl="5" w:tplc="50EC05CC">
      <w:start w:val="1"/>
      <w:numFmt w:val="decimal"/>
      <w:lvlText w:val="%6."/>
      <w:lvlJc w:val="left"/>
      <w:pPr>
        <w:ind w:left="1020" w:hanging="360"/>
      </w:pPr>
    </w:lvl>
    <w:lvl w:ilvl="6" w:tplc="CAA004FC">
      <w:start w:val="1"/>
      <w:numFmt w:val="decimal"/>
      <w:lvlText w:val="%7."/>
      <w:lvlJc w:val="left"/>
      <w:pPr>
        <w:ind w:left="1020" w:hanging="360"/>
      </w:pPr>
    </w:lvl>
    <w:lvl w:ilvl="7" w:tplc="B94876EE">
      <w:start w:val="1"/>
      <w:numFmt w:val="decimal"/>
      <w:lvlText w:val="%8."/>
      <w:lvlJc w:val="left"/>
      <w:pPr>
        <w:ind w:left="1020" w:hanging="360"/>
      </w:pPr>
    </w:lvl>
    <w:lvl w:ilvl="8" w:tplc="0D3027A0">
      <w:start w:val="1"/>
      <w:numFmt w:val="decimal"/>
      <w:lvlText w:val="%9."/>
      <w:lvlJc w:val="left"/>
      <w:pPr>
        <w:ind w:left="1020" w:hanging="360"/>
      </w:pPr>
    </w:lvl>
  </w:abstractNum>
  <w:num w:numId="1">
    <w:abstractNumId w:val="12"/>
  </w:num>
  <w:num w:numId="2">
    <w:abstractNumId w:val="37"/>
  </w:num>
  <w:num w:numId="3">
    <w:abstractNumId w:val="9"/>
  </w:num>
  <w:num w:numId="4">
    <w:abstractNumId w:val="2"/>
  </w:num>
  <w:num w:numId="5">
    <w:abstractNumId w:val="14"/>
  </w:num>
  <w:num w:numId="6">
    <w:abstractNumId w:val="0"/>
  </w:num>
  <w:num w:numId="7">
    <w:abstractNumId w:val="23"/>
  </w:num>
  <w:num w:numId="8">
    <w:abstractNumId w:val="11"/>
  </w:num>
  <w:num w:numId="9">
    <w:abstractNumId w:val="17"/>
  </w:num>
  <w:num w:numId="10">
    <w:abstractNumId w:val="33"/>
  </w:num>
  <w:num w:numId="11">
    <w:abstractNumId w:val="8"/>
  </w:num>
  <w:num w:numId="12">
    <w:abstractNumId w:val="25"/>
  </w:num>
  <w:num w:numId="13">
    <w:abstractNumId w:val="18"/>
  </w:num>
  <w:num w:numId="14">
    <w:abstractNumId w:val="7"/>
  </w:num>
  <w:num w:numId="15">
    <w:abstractNumId w:val="4"/>
  </w:num>
  <w:num w:numId="16">
    <w:abstractNumId w:val="30"/>
  </w:num>
  <w:num w:numId="17">
    <w:abstractNumId w:val="3"/>
  </w:num>
  <w:num w:numId="18">
    <w:abstractNumId w:val="19"/>
  </w:num>
  <w:num w:numId="19">
    <w:abstractNumId w:val="31"/>
  </w:num>
  <w:num w:numId="20">
    <w:abstractNumId w:val="34"/>
  </w:num>
  <w:num w:numId="21">
    <w:abstractNumId w:val="24"/>
  </w:num>
  <w:num w:numId="22">
    <w:abstractNumId w:val="16"/>
  </w:num>
  <w:num w:numId="23">
    <w:abstractNumId w:val="20"/>
  </w:num>
  <w:num w:numId="24">
    <w:abstractNumId w:val="6"/>
  </w:num>
  <w:num w:numId="25">
    <w:abstractNumId w:val="15"/>
  </w:num>
  <w:num w:numId="26">
    <w:abstractNumId w:val="21"/>
  </w:num>
  <w:num w:numId="27">
    <w:abstractNumId w:val="28"/>
  </w:num>
  <w:num w:numId="28">
    <w:abstractNumId w:val="22"/>
  </w:num>
  <w:num w:numId="29">
    <w:abstractNumId w:val="28"/>
  </w:num>
  <w:num w:numId="30">
    <w:abstractNumId w:val="32"/>
  </w:num>
  <w:num w:numId="31">
    <w:abstractNumId w:val="26"/>
  </w:num>
  <w:num w:numId="32">
    <w:abstractNumId w:val="13"/>
  </w:num>
  <w:num w:numId="33">
    <w:abstractNumId w:val="5"/>
  </w:num>
  <w:num w:numId="34">
    <w:abstractNumId w:val="36"/>
  </w:num>
  <w:num w:numId="35">
    <w:abstractNumId w:val="1"/>
  </w:num>
  <w:num w:numId="36">
    <w:abstractNumId w:val="10"/>
  </w:num>
  <w:num w:numId="37">
    <w:abstractNumId w:val="27"/>
  </w:num>
  <w:num w:numId="38">
    <w:abstractNumId w:val="35"/>
  </w:num>
  <w:num w:numId="39">
    <w:abstractNumId w:val="29"/>
  </w:num>
  <w:num w:numId="40">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E6"/>
    <w:rsid w:val="00000C3D"/>
    <w:rsid w:val="00015E6B"/>
    <w:rsid w:val="00017F16"/>
    <w:rsid w:val="000218B8"/>
    <w:rsid w:val="00021D1C"/>
    <w:rsid w:val="0002322D"/>
    <w:rsid w:val="000246FA"/>
    <w:rsid w:val="00024C8C"/>
    <w:rsid w:val="0002568B"/>
    <w:rsid w:val="0002781A"/>
    <w:rsid w:val="00027E7E"/>
    <w:rsid w:val="0003190D"/>
    <w:rsid w:val="0003299A"/>
    <w:rsid w:val="00036B59"/>
    <w:rsid w:val="000412AC"/>
    <w:rsid w:val="00041B86"/>
    <w:rsid w:val="00046127"/>
    <w:rsid w:val="00047CB2"/>
    <w:rsid w:val="00051D74"/>
    <w:rsid w:val="0005433B"/>
    <w:rsid w:val="00055E15"/>
    <w:rsid w:val="0006496B"/>
    <w:rsid w:val="0006777E"/>
    <w:rsid w:val="00067C06"/>
    <w:rsid w:val="00071FC1"/>
    <w:rsid w:val="00073D4E"/>
    <w:rsid w:val="00075DAB"/>
    <w:rsid w:val="00077DFB"/>
    <w:rsid w:val="00081990"/>
    <w:rsid w:val="000857EE"/>
    <w:rsid w:val="000878F6"/>
    <w:rsid w:val="00087DEE"/>
    <w:rsid w:val="00093EA4"/>
    <w:rsid w:val="000B5492"/>
    <w:rsid w:val="000C2B68"/>
    <w:rsid w:val="000C3E37"/>
    <w:rsid w:val="000D2444"/>
    <w:rsid w:val="000D6FC3"/>
    <w:rsid w:val="000E6354"/>
    <w:rsid w:val="000F254B"/>
    <w:rsid w:val="000F26EA"/>
    <w:rsid w:val="000F59BF"/>
    <w:rsid w:val="00100C8C"/>
    <w:rsid w:val="00101A95"/>
    <w:rsid w:val="00101AB7"/>
    <w:rsid w:val="00112F7F"/>
    <w:rsid w:val="001168F8"/>
    <w:rsid w:val="0012089D"/>
    <w:rsid w:val="00121269"/>
    <w:rsid w:val="001236F3"/>
    <w:rsid w:val="00126966"/>
    <w:rsid w:val="00126C38"/>
    <w:rsid w:val="0013441E"/>
    <w:rsid w:val="00134EB3"/>
    <w:rsid w:val="0013686E"/>
    <w:rsid w:val="00136F50"/>
    <w:rsid w:val="00144E43"/>
    <w:rsid w:val="00146320"/>
    <w:rsid w:val="001478DE"/>
    <w:rsid w:val="0015186C"/>
    <w:rsid w:val="00151EFE"/>
    <w:rsid w:val="00154B69"/>
    <w:rsid w:val="0016144D"/>
    <w:rsid w:val="00170A17"/>
    <w:rsid w:val="00170A61"/>
    <w:rsid w:val="00172A3E"/>
    <w:rsid w:val="0017341D"/>
    <w:rsid w:val="00174085"/>
    <w:rsid w:val="001746E4"/>
    <w:rsid w:val="001756FD"/>
    <w:rsid w:val="00176A22"/>
    <w:rsid w:val="00181B99"/>
    <w:rsid w:val="0018449B"/>
    <w:rsid w:val="00184D71"/>
    <w:rsid w:val="001955AC"/>
    <w:rsid w:val="001A327F"/>
    <w:rsid w:val="001A377B"/>
    <w:rsid w:val="001A616B"/>
    <w:rsid w:val="001A72F0"/>
    <w:rsid w:val="001B017C"/>
    <w:rsid w:val="001B5108"/>
    <w:rsid w:val="001B621A"/>
    <w:rsid w:val="001B6504"/>
    <w:rsid w:val="001B6CFB"/>
    <w:rsid w:val="001C0E94"/>
    <w:rsid w:val="001C38C3"/>
    <w:rsid w:val="001C50EF"/>
    <w:rsid w:val="001D0C60"/>
    <w:rsid w:val="001D76D9"/>
    <w:rsid w:val="001E7C1D"/>
    <w:rsid w:val="001F139E"/>
    <w:rsid w:val="001F5191"/>
    <w:rsid w:val="00213238"/>
    <w:rsid w:val="00213A92"/>
    <w:rsid w:val="002175CC"/>
    <w:rsid w:val="00220073"/>
    <w:rsid w:val="00222B16"/>
    <w:rsid w:val="00224CD1"/>
    <w:rsid w:val="00225699"/>
    <w:rsid w:val="00237F18"/>
    <w:rsid w:val="00242AD9"/>
    <w:rsid w:val="002461DC"/>
    <w:rsid w:val="00253740"/>
    <w:rsid w:val="002537C2"/>
    <w:rsid w:val="0025551B"/>
    <w:rsid w:val="002618DF"/>
    <w:rsid w:val="00270B62"/>
    <w:rsid w:val="00270F77"/>
    <w:rsid w:val="002710FE"/>
    <w:rsid w:val="002736F4"/>
    <w:rsid w:val="00274084"/>
    <w:rsid w:val="002861D2"/>
    <w:rsid w:val="0028746A"/>
    <w:rsid w:val="002904CF"/>
    <w:rsid w:val="0029254D"/>
    <w:rsid w:val="00292601"/>
    <w:rsid w:val="002946A3"/>
    <w:rsid w:val="002A1638"/>
    <w:rsid w:val="002A2CD3"/>
    <w:rsid w:val="002A4C8E"/>
    <w:rsid w:val="002A5A54"/>
    <w:rsid w:val="002A745C"/>
    <w:rsid w:val="002B0055"/>
    <w:rsid w:val="002B00E6"/>
    <w:rsid w:val="002B0EC9"/>
    <w:rsid w:val="002B48F7"/>
    <w:rsid w:val="002B5DF7"/>
    <w:rsid w:val="002C7C6F"/>
    <w:rsid w:val="002C7C85"/>
    <w:rsid w:val="002D06A8"/>
    <w:rsid w:val="002D3CD0"/>
    <w:rsid w:val="002D4A27"/>
    <w:rsid w:val="002D4B8A"/>
    <w:rsid w:val="002F4133"/>
    <w:rsid w:val="002F43DA"/>
    <w:rsid w:val="002F5FDB"/>
    <w:rsid w:val="0030025D"/>
    <w:rsid w:val="00305DAC"/>
    <w:rsid w:val="003063A3"/>
    <w:rsid w:val="00307394"/>
    <w:rsid w:val="0032032E"/>
    <w:rsid w:val="0032127C"/>
    <w:rsid w:val="00322803"/>
    <w:rsid w:val="00326915"/>
    <w:rsid w:val="00327876"/>
    <w:rsid w:val="0035527B"/>
    <w:rsid w:val="00355E9B"/>
    <w:rsid w:val="0036453F"/>
    <w:rsid w:val="003678F3"/>
    <w:rsid w:val="003714CB"/>
    <w:rsid w:val="0037293C"/>
    <w:rsid w:val="0037661E"/>
    <w:rsid w:val="00377170"/>
    <w:rsid w:val="00377394"/>
    <w:rsid w:val="003774BB"/>
    <w:rsid w:val="00380952"/>
    <w:rsid w:val="003835FC"/>
    <w:rsid w:val="00383910"/>
    <w:rsid w:val="0038541A"/>
    <w:rsid w:val="0038609F"/>
    <w:rsid w:val="003869D1"/>
    <w:rsid w:val="00390BFA"/>
    <w:rsid w:val="003914C3"/>
    <w:rsid w:val="00392A4A"/>
    <w:rsid w:val="003A1717"/>
    <w:rsid w:val="003A701B"/>
    <w:rsid w:val="003A7C1B"/>
    <w:rsid w:val="003C547D"/>
    <w:rsid w:val="003D13D7"/>
    <w:rsid w:val="003D1B28"/>
    <w:rsid w:val="003D4BFC"/>
    <w:rsid w:val="003D6C3B"/>
    <w:rsid w:val="003D6CC4"/>
    <w:rsid w:val="003D78EC"/>
    <w:rsid w:val="003E1044"/>
    <w:rsid w:val="003E2021"/>
    <w:rsid w:val="003E2794"/>
    <w:rsid w:val="003E30C9"/>
    <w:rsid w:val="003E5A4D"/>
    <w:rsid w:val="003E7976"/>
    <w:rsid w:val="003F49A9"/>
    <w:rsid w:val="00403F6E"/>
    <w:rsid w:val="004056AA"/>
    <w:rsid w:val="0040711A"/>
    <w:rsid w:val="00420103"/>
    <w:rsid w:val="00421617"/>
    <w:rsid w:val="00421D8C"/>
    <w:rsid w:val="00430F60"/>
    <w:rsid w:val="0043526F"/>
    <w:rsid w:val="004360BB"/>
    <w:rsid w:val="0043688F"/>
    <w:rsid w:val="00436AB8"/>
    <w:rsid w:val="00437712"/>
    <w:rsid w:val="004520D7"/>
    <w:rsid w:val="00454245"/>
    <w:rsid w:val="00456EDC"/>
    <w:rsid w:val="00461CE7"/>
    <w:rsid w:val="00462D87"/>
    <w:rsid w:val="004630C1"/>
    <w:rsid w:val="0046310F"/>
    <w:rsid w:val="00463826"/>
    <w:rsid w:val="004667B4"/>
    <w:rsid w:val="00472B16"/>
    <w:rsid w:val="0047668C"/>
    <w:rsid w:val="00476EC5"/>
    <w:rsid w:val="00483E18"/>
    <w:rsid w:val="004A7D87"/>
    <w:rsid w:val="004B24BC"/>
    <w:rsid w:val="004B6C2A"/>
    <w:rsid w:val="004B7F1D"/>
    <w:rsid w:val="004C074E"/>
    <w:rsid w:val="004C168D"/>
    <w:rsid w:val="004C55B9"/>
    <w:rsid w:val="004C606B"/>
    <w:rsid w:val="004C70C8"/>
    <w:rsid w:val="004C795D"/>
    <w:rsid w:val="004D3DE4"/>
    <w:rsid w:val="004E06D5"/>
    <w:rsid w:val="004E2C17"/>
    <w:rsid w:val="004E7320"/>
    <w:rsid w:val="004F1327"/>
    <w:rsid w:val="004F15AA"/>
    <w:rsid w:val="004F23F1"/>
    <w:rsid w:val="004F697D"/>
    <w:rsid w:val="00500B03"/>
    <w:rsid w:val="005045BA"/>
    <w:rsid w:val="00511486"/>
    <w:rsid w:val="00520BE3"/>
    <w:rsid w:val="00531FAA"/>
    <w:rsid w:val="00541A66"/>
    <w:rsid w:val="00546277"/>
    <w:rsid w:val="005463C9"/>
    <w:rsid w:val="0054662E"/>
    <w:rsid w:val="00552ABB"/>
    <w:rsid w:val="00557A13"/>
    <w:rsid w:val="00566DFD"/>
    <w:rsid w:val="005703A3"/>
    <w:rsid w:val="00574363"/>
    <w:rsid w:val="00574B31"/>
    <w:rsid w:val="00593B42"/>
    <w:rsid w:val="0059692E"/>
    <w:rsid w:val="005A3BEA"/>
    <w:rsid w:val="005A4CD6"/>
    <w:rsid w:val="005A66AD"/>
    <w:rsid w:val="005A68D5"/>
    <w:rsid w:val="005A6EF1"/>
    <w:rsid w:val="005A71CC"/>
    <w:rsid w:val="005B41A3"/>
    <w:rsid w:val="005B4B1A"/>
    <w:rsid w:val="005B5F22"/>
    <w:rsid w:val="005C2763"/>
    <w:rsid w:val="005D0DCB"/>
    <w:rsid w:val="005D53EA"/>
    <w:rsid w:val="005E0A3B"/>
    <w:rsid w:val="005E7BB8"/>
    <w:rsid w:val="005E7D62"/>
    <w:rsid w:val="005F0510"/>
    <w:rsid w:val="00603C0C"/>
    <w:rsid w:val="0060710B"/>
    <w:rsid w:val="006134FD"/>
    <w:rsid w:val="00613CAC"/>
    <w:rsid w:val="006203CF"/>
    <w:rsid w:val="006211BA"/>
    <w:rsid w:val="00633337"/>
    <w:rsid w:val="00633893"/>
    <w:rsid w:val="0064287F"/>
    <w:rsid w:val="006437C6"/>
    <w:rsid w:val="0064597E"/>
    <w:rsid w:val="00646F0F"/>
    <w:rsid w:val="0065359C"/>
    <w:rsid w:val="00654629"/>
    <w:rsid w:val="00657582"/>
    <w:rsid w:val="006611CE"/>
    <w:rsid w:val="00664EEA"/>
    <w:rsid w:val="0067284F"/>
    <w:rsid w:val="006815F0"/>
    <w:rsid w:val="00682603"/>
    <w:rsid w:val="006861F2"/>
    <w:rsid w:val="0069081D"/>
    <w:rsid w:val="00697C57"/>
    <w:rsid w:val="006B237E"/>
    <w:rsid w:val="006B545A"/>
    <w:rsid w:val="006C2F0D"/>
    <w:rsid w:val="006C4025"/>
    <w:rsid w:val="006C4F39"/>
    <w:rsid w:val="006C5DD5"/>
    <w:rsid w:val="006C7172"/>
    <w:rsid w:val="006C73CE"/>
    <w:rsid w:val="006C7CB5"/>
    <w:rsid w:val="006C7F7A"/>
    <w:rsid w:val="006D0A8D"/>
    <w:rsid w:val="006D4A63"/>
    <w:rsid w:val="006E0B1C"/>
    <w:rsid w:val="006E0D1D"/>
    <w:rsid w:val="006E14E1"/>
    <w:rsid w:val="006E186E"/>
    <w:rsid w:val="006E7DB2"/>
    <w:rsid w:val="006F1A18"/>
    <w:rsid w:val="006F498E"/>
    <w:rsid w:val="0070109D"/>
    <w:rsid w:val="00704BD5"/>
    <w:rsid w:val="00705C7D"/>
    <w:rsid w:val="0070639E"/>
    <w:rsid w:val="0071400B"/>
    <w:rsid w:val="007203D9"/>
    <w:rsid w:val="0072424E"/>
    <w:rsid w:val="00725CA7"/>
    <w:rsid w:val="00726460"/>
    <w:rsid w:val="007269EB"/>
    <w:rsid w:val="00726DBF"/>
    <w:rsid w:val="00732690"/>
    <w:rsid w:val="00736034"/>
    <w:rsid w:val="007404C5"/>
    <w:rsid w:val="007426AB"/>
    <w:rsid w:val="007439D3"/>
    <w:rsid w:val="00745C86"/>
    <w:rsid w:val="00752FFA"/>
    <w:rsid w:val="00753026"/>
    <w:rsid w:val="0075363E"/>
    <w:rsid w:val="007629F9"/>
    <w:rsid w:val="007667AD"/>
    <w:rsid w:val="007725BA"/>
    <w:rsid w:val="0077543F"/>
    <w:rsid w:val="00781A65"/>
    <w:rsid w:val="00786019"/>
    <w:rsid w:val="00786EFE"/>
    <w:rsid w:val="007871CC"/>
    <w:rsid w:val="00794FAC"/>
    <w:rsid w:val="007B3D1D"/>
    <w:rsid w:val="007B52C6"/>
    <w:rsid w:val="007C3DB5"/>
    <w:rsid w:val="007C3E80"/>
    <w:rsid w:val="007C50F8"/>
    <w:rsid w:val="007D10A9"/>
    <w:rsid w:val="007D178E"/>
    <w:rsid w:val="007D2A8C"/>
    <w:rsid w:val="007D59A1"/>
    <w:rsid w:val="007D6787"/>
    <w:rsid w:val="007E757D"/>
    <w:rsid w:val="007E77C3"/>
    <w:rsid w:val="007F1096"/>
    <w:rsid w:val="007F13BB"/>
    <w:rsid w:val="007F1B5F"/>
    <w:rsid w:val="007F5AAA"/>
    <w:rsid w:val="00800D72"/>
    <w:rsid w:val="00802AB4"/>
    <w:rsid w:val="00803FC1"/>
    <w:rsid w:val="00807D5A"/>
    <w:rsid w:val="008103D3"/>
    <w:rsid w:val="00822F4B"/>
    <w:rsid w:val="008256D8"/>
    <w:rsid w:val="00830C38"/>
    <w:rsid w:val="00831E7F"/>
    <w:rsid w:val="00837C4C"/>
    <w:rsid w:val="0084600C"/>
    <w:rsid w:val="00847D43"/>
    <w:rsid w:val="0085214A"/>
    <w:rsid w:val="00852514"/>
    <w:rsid w:val="008638B3"/>
    <w:rsid w:val="008716C6"/>
    <w:rsid w:val="00873C46"/>
    <w:rsid w:val="00873C7E"/>
    <w:rsid w:val="00875A57"/>
    <w:rsid w:val="00884A41"/>
    <w:rsid w:val="0089228B"/>
    <w:rsid w:val="00892B2C"/>
    <w:rsid w:val="008A2D2E"/>
    <w:rsid w:val="008B6275"/>
    <w:rsid w:val="008B6607"/>
    <w:rsid w:val="008C5EE1"/>
    <w:rsid w:val="008D2F08"/>
    <w:rsid w:val="008D2FB6"/>
    <w:rsid w:val="008E07BB"/>
    <w:rsid w:val="008E1E97"/>
    <w:rsid w:val="008E2135"/>
    <w:rsid w:val="008F2BD8"/>
    <w:rsid w:val="008F4601"/>
    <w:rsid w:val="009133D0"/>
    <w:rsid w:val="009145D8"/>
    <w:rsid w:val="0091602C"/>
    <w:rsid w:val="009232A5"/>
    <w:rsid w:val="00925E27"/>
    <w:rsid w:val="00930674"/>
    <w:rsid w:val="009558C4"/>
    <w:rsid w:val="00960237"/>
    <w:rsid w:val="00963237"/>
    <w:rsid w:val="00964D63"/>
    <w:rsid w:val="00970365"/>
    <w:rsid w:val="00973359"/>
    <w:rsid w:val="0097446B"/>
    <w:rsid w:val="009764E8"/>
    <w:rsid w:val="009862A2"/>
    <w:rsid w:val="00987185"/>
    <w:rsid w:val="009876CB"/>
    <w:rsid w:val="009879AE"/>
    <w:rsid w:val="00990AEA"/>
    <w:rsid w:val="0099204E"/>
    <w:rsid w:val="009968BA"/>
    <w:rsid w:val="009B0C38"/>
    <w:rsid w:val="009B2859"/>
    <w:rsid w:val="009B3148"/>
    <w:rsid w:val="009B5E4F"/>
    <w:rsid w:val="009B70B0"/>
    <w:rsid w:val="009C4D46"/>
    <w:rsid w:val="009D1A28"/>
    <w:rsid w:val="009D4F80"/>
    <w:rsid w:val="009D736E"/>
    <w:rsid w:val="009D73EF"/>
    <w:rsid w:val="009E0DFA"/>
    <w:rsid w:val="009E7309"/>
    <w:rsid w:val="009F2A17"/>
    <w:rsid w:val="009F2E3A"/>
    <w:rsid w:val="009F4833"/>
    <w:rsid w:val="009F5EFE"/>
    <w:rsid w:val="009F7390"/>
    <w:rsid w:val="00A118C4"/>
    <w:rsid w:val="00A2262E"/>
    <w:rsid w:val="00A304AE"/>
    <w:rsid w:val="00A30AF6"/>
    <w:rsid w:val="00A332C9"/>
    <w:rsid w:val="00A3392C"/>
    <w:rsid w:val="00A35551"/>
    <w:rsid w:val="00A3677F"/>
    <w:rsid w:val="00A370E5"/>
    <w:rsid w:val="00A41D1D"/>
    <w:rsid w:val="00A445DC"/>
    <w:rsid w:val="00A50607"/>
    <w:rsid w:val="00A552CE"/>
    <w:rsid w:val="00A55BEF"/>
    <w:rsid w:val="00A5775E"/>
    <w:rsid w:val="00A57939"/>
    <w:rsid w:val="00A70B4C"/>
    <w:rsid w:val="00A726C9"/>
    <w:rsid w:val="00A728E1"/>
    <w:rsid w:val="00A733A4"/>
    <w:rsid w:val="00A76B36"/>
    <w:rsid w:val="00A8036F"/>
    <w:rsid w:val="00A82FB8"/>
    <w:rsid w:val="00A83774"/>
    <w:rsid w:val="00A838C8"/>
    <w:rsid w:val="00A84403"/>
    <w:rsid w:val="00A86337"/>
    <w:rsid w:val="00A95988"/>
    <w:rsid w:val="00A972C2"/>
    <w:rsid w:val="00AA06D8"/>
    <w:rsid w:val="00AA3A0A"/>
    <w:rsid w:val="00AA4F68"/>
    <w:rsid w:val="00AB402C"/>
    <w:rsid w:val="00AB4DB2"/>
    <w:rsid w:val="00AB4E1A"/>
    <w:rsid w:val="00AB5198"/>
    <w:rsid w:val="00AB7B9B"/>
    <w:rsid w:val="00AC0176"/>
    <w:rsid w:val="00AC4C59"/>
    <w:rsid w:val="00AE0630"/>
    <w:rsid w:val="00AE51C9"/>
    <w:rsid w:val="00AE5201"/>
    <w:rsid w:val="00AE57A7"/>
    <w:rsid w:val="00AF0E2D"/>
    <w:rsid w:val="00AF1EB1"/>
    <w:rsid w:val="00B1606C"/>
    <w:rsid w:val="00B20252"/>
    <w:rsid w:val="00B34198"/>
    <w:rsid w:val="00B35809"/>
    <w:rsid w:val="00B37CAD"/>
    <w:rsid w:val="00B54176"/>
    <w:rsid w:val="00B54E97"/>
    <w:rsid w:val="00B55CF2"/>
    <w:rsid w:val="00B55DEE"/>
    <w:rsid w:val="00B56210"/>
    <w:rsid w:val="00B5658E"/>
    <w:rsid w:val="00B56C7E"/>
    <w:rsid w:val="00B61224"/>
    <w:rsid w:val="00B7024A"/>
    <w:rsid w:val="00B76384"/>
    <w:rsid w:val="00B80B0A"/>
    <w:rsid w:val="00B90C5F"/>
    <w:rsid w:val="00B91572"/>
    <w:rsid w:val="00B924B1"/>
    <w:rsid w:val="00BA2197"/>
    <w:rsid w:val="00BA2728"/>
    <w:rsid w:val="00BB1BBD"/>
    <w:rsid w:val="00BB3C9A"/>
    <w:rsid w:val="00BB483D"/>
    <w:rsid w:val="00BB6E53"/>
    <w:rsid w:val="00BC5A6D"/>
    <w:rsid w:val="00BD0D47"/>
    <w:rsid w:val="00BD1390"/>
    <w:rsid w:val="00BD35BA"/>
    <w:rsid w:val="00BD7476"/>
    <w:rsid w:val="00BE23FB"/>
    <w:rsid w:val="00BF2D5F"/>
    <w:rsid w:val="00BF4A5C"/>
    <w:rsid w:val="00C01081"/>
    <w:rsid w:val="00C0213E"/>
    <w:rsid w:val="00C0289A"/>
    <w:rsid w:val="00C0301C"/>
    <w:rsid w:val="00C04941"/>
    <w:rsid w:val="00C05AC0"/>
    <w:rsid w:val="00C122ED"/>
    <w:rsid w:val="00C220C3"/>
    <w:rsid w:val="00C22E41"/>
    <w:rsid w:val="00C24CA1"/>
    <w:rsid w:val="00C2505E"/>
    <w:rsid w:val="00C25423"/>
    <w:rsid w:val="00C356A8"/>
    <w:rsid w:val="00C3658D"/>
    <w:rsid w:val="00C369A2"/>
    <w:rsid w:val="00C40048"/>
    <w:rsid w:val="00C4127C"/>
    <w:rsid w:val="00C41434"/>
    <w:rsid w:val="00C4183B"/>
    <w:rsid w:val="00C41FDA"/>
    <w:rsid w:val="00C431DD"/>
    <w:rsid w:val="00C4533F"/>
    <w:rsid w:val="00C46374"/>
    <w:rsid w:val="00C501F1"/>
    <w:rsid w:val="00C57DE3"/>
    <w:rsid w:val="00C62B5E"/>
    <w:rsid w:val="00C63F97"/>
    <w:rsid w:val="00C667A6"/>
    <w:rsid w:val="00C675A8"/>
    <w:rsid w:val="00C766DE"/>
    <w:rsid w:val="00C7685C"/>
    <w:rsid w:val="00C772E0"/>
    <w:rsid w:val="00C8001E"/>
    <w:rsid w:val="00C90AB7"/>
    <w:rsid w:val="00C90B56"/>
    <w:rsid w:val="00CA2771"/>
    <w:rsid w:val="00CA37AA"/>
    <w:rsid w:val="00CA3B8A"/>
    <w:rsid w:val="00CA47D0"/>
    <w:rsid w:val="00CB187E"/>
    <w:rsid w:val="00CB2D59"/>
    <w:rsid w:val="00CB4E64"/>
    <w:rsid w:val="00CC1D50"/>
    <w:rsid w:val="00CC4566"/>
    <w:rsid w:val="00CC4CA9"/>
    <w:rsid w:val="00CD100B"/>
    <w:rsid w:val="00CD5464"/>
    <w:rsid w:val="00CE024B"/>
    <w:rsid w:val="00CE4AE2"/>
    <w:rsid w:val="00CE51F4"/>
    <w:rsid w:val="00CF166A"/>
    <w:rsid w:val="00CF2CB6"/>
    <w:rsid w:val="00CF3D3E"/>
    <w:rsid w:val="00CF7F81"/>
    <w:rsid w:val="00D00EB3"/>
    <w:rsid w:val="00D049D5"/>
    <w:rsid w:val="00D11812"/>
    <w:rsid w:val="00D16D34"/>
    <w:rsid w:val="00D1735F"/>
    <w:rsid w:val="00D17CE9"/>
    <w:rsid w:val="00D21026"/>
    <w:rsid w:val="00D331D0"/>
    <w:rsid w:val="00D33F75"/>
    <w:rsid w:val="00D40B99"/>
    <w:rsid w:val="00D4177B"/>
    <w:rsid w:val="00D42191"/>
    <w:rsid w:val="00D443C8"/>
    <w:rsid w:val="00D503AC"/>
    <w:rsid w:val="00D55EBF"/>
    <w:rsid w:val="00D6439A"/>
    <w:rsid w:val="00D71F74"/>
    <w:rsid w:val="00D739A8"/>
    <w:rsid w:val="00D7700A"/>
    <w:rsid w:val="00D8022E"/>
    <w:rsid w:val="00D913BE"/>
    <w:rsid w:val="00D9151D"/>
    <w:rsid w:val="00D91842"/>
    <w:rsid w:val="00D945DF"/>
    <w:rsid w:val="00D96A1C"/>
    <w:rsid w:val="00D97C4D"/>
    <w:rsid w:val="00D97D12"/>
    <w:rsid w:val="00DA01E3"/>
    <w:rsid w:val="00DA1762"/>
    <w:rsid w:val="00DB234B"/>
    <w:rsid w:val="00DB2407"/>
    <w:rsid w:val="00DB29DA"/>
    <w:rsid w:val="00DB323E"/>
    <w:rsid w:val="00DB56A0"/>
    <w:rsid w:val="00DC4B9A"/>
    <w:rsid w:val="00DD2F1D"/>
    <w:rsid w:val="00DE2361"/>
    <w:rsid w:val="00E0413C"/>
    <w:rsid w:val="00E07D56"/>
    <w:rsid w:val="00E10564"/>
    <w:rsid w:val="00E231A2"/>
    <w:rsid w:val="00E24EAD"/>
    <w:rsid w:val="00E27D0A"/>
    <w:rsid w:val="00E3304A"/>
    <w:rsid w:val="00E36778"/>
    <w:rsid w:val="00E37322"/>
    <w:rsid w:val="00E4183C"/>
    <w:rsid w:val="00E46A16"/>
    <w:rsid w:val="00E46B96"/>
    <w:rsid w:val="00E53F7C"/>
    <w:rsid w:val="00E64630"/>
    <w:rsid w:val="00E7296E"/>
    <w:rsid w:val="00E72AB0"/>
    <w:rsid w:val="00E73B63"/>
    <w:rsid w:val="00E83257"/>
    <w:rsid w:val="00E86271"/>
    <w:rsid w:val="00E877A8"/>
    <w:rsid w:val="00E953AD"/>
    <w:rsid w:val="00E973E5"/>
    <w:rsid w:val="00EA10A5"/>
    <w:rsid w:val="00EA12A0"/>
    <w:rsid w:val="00EA6B3E"/>
    <w:rsid w:val="00EC31FC"/>
    <w:rsid w:val="00EC406B"/>
    <w:rsid w:val="00EC4E2F"/>
    <w:rsid w:val="00EC4E63"/>
    <w:rsid w:val="00EC7133"/>
    <w:rsid w:val="00ED7F4F"/>
    <w:rsid w:val="00EE2885"/>
    <w:rsid w:val="00EE5787"/>
    <w:rsid w:val="00EE585F"/>
    <w:rsid w:val="00EF1B06"/>
    <w:rsid w:val="00EF4B44"/>
    <w:rsid w:val="00EF622A"/>
    <w:rsid w:val="00F05361"/>
    <w:rsid w:val="00F06FF8"/>
    <w:rsid w:val="00F07BA7"/>
    <w:rsid w:val="00F16602"/>
    <w:rsid w:val="00F1720F"/>
    <w:rsid w:val="00F25BD3"/>
    <w:rsid w:val="00F31D1D"/>
    <w:rsid w:val="00F43C99"/>
    <w:rsid w:val="00F51004"/>
    <w:rsid w:val="00F64F3D"/>
    <w:rsid w:val="00F668DA"/>
    <w:rsid w:val="00F8027C"/>
    <w:rsid w:val="00F821A2"/>
    <w:rsid w:val="00F82C54"/>
    <w:rsid w:val="00F83D96"/>
    <w:rsid w:val="00F83FD1"/>
    <w:rsid w:val="00F859CC"/>
    <w:rsid w:val="00F862CB"/>
    <w:rsid w:val="00F90A18"/>
    <w:rsid w:val="00F914D4"/>
    <w:rsid w:val="00F9216D"/>
    <w:rsid w:val="00F936AE"/>
    <w:rsid w:val="00F94592"/>
    <w:rsid w:val="00F94D0F"/>
    <w:rsid w:val="00F952BD"/>
    <w:rsid w:val="00F964D1"/>
    <w:rsid w:val="00FA1B0C"/>
    <w:rsid w:val="00FA3B40"/>
    <w:rsid w:val="00FA5AF8"/>
    <w:rsid w:val="00FA73D7"/>
    <w:rsid w:val="00FB1236"/>
    <w:rsid w:val="00FB6E3D"/>
    <w:rsid w:val="00FC50FE"/>
    <w:rsid w:val="00FC555C"/>
    <w:rsid w:val="00FD0F3E"/>
    <w:rsid w:val="00FD4BBD"/>
    <w:rsid w:val="00FE5EEF"/>
    <w:rsid w:val="00FF5182"/>
    <w:rsid w:val="00FF7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024E6"/>
  <w15:chartTrackingRefBased/>
  <w15:docId w15:val="{5E26D283-C180-446E-8431-C4C597F0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5AA"/>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4E7320"/>
    <w:pPr>
      <w:tabs>
        <w:tab w:val="left" w:pos="810"/>
      </w:tabs>
      <w:spacing w:before="120" w:after="120"/>
      <w:jc w:val="both"/>
      <w:outlineLvl w:val="0"/>
    </w:pPr>
    <w:rPr>
      <w:b/>
      <w:sz w:val="28"/>
      <w:lang w:val="en-GB"/>
    </w:rPr>
  </w:style>
  <w:style w:type="paragraph" w:styleId="Heading2">
    <w:name w:val="heading 2"/>
    <w:basedOn w:val="Normal"/>
    <w:next w:val="Normal"/>
    <w:link w:val="Heading2Char"/>
    <w:uiPriority w:val="9"/>
    <w:unhideWhenUsed/>
    <w:qFormat/>
    <w:rsid w:val="0070639E"/>
    <w:pPr>
      <w:spacing w:before="120" w:after="120"/>
      <w:jc w:val="both"/>
      <w:outlineLvl w:val="1"/>
    </w:pPr>
    <w:rPr>
      <w:b/>
      <w:bCs/>
    </w:rPr>
  </w:style>
  <w:style w:type="paragraph" w:styleId="Heading4">
    <w:name w:val="heading 4"/>
    <w:basedOn w:val="Normal"/>
    <w:next w:val="Normal"/>
    <w:link w:val="Heading4Char"/>
    <w:uiPriority w:val="9"/>
    <w:semiHidden/>
    <w:unhideWhenUsed/>
    <w:qFormat/>
    <w:rsid w:val="006C4F3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E07BB"/>
    <w:rPr>
      <w:rFonts w:cs="Times New Roman"/>
      <w:sz w:val="16"/>
      <w:szCs w:val="16"/>
    </w:rPr>
  </w:style>
  <w:style w:type="paragraph" w:styleId="Footer">
    <w:name w:val="footer"/>
    <w:basedOn w:val="Normal"/>
    <w:link w:val="FooterChar"/>
    <w:rsid w:val="008E07BB"/>
    <w:pPr>
      <w:tabs>
        <w:tab w:val="center" w:pos="4320"/>
        <w:tab w:val="right" w:pos="8640"/>
      </w:tabs>
    </w:pPr>
    <w:rPr>
      <w:lang w:val="x-none"/>
    </w:rPr>
  </w:style>
  <w:style w:type="character" w:customStyle="1" w:styleId="FooterChar">
    <w:name w:val="Footer Char"/>
    <w:basedOn w:val="DefaultParagraphFont"/>
    <w:link w:val="Footer"/>
    <w:rsid w:val="008E07BB"/>
    <w:rPr>
      <w:rFonts w:ascii="Times New Roman" w:eastAsia="Times New Roman" w:hAnsi="Times New Roman" w:cs="Times New Roman"/>
      <w:sz w:val="24"/>
      <w:szCs w:val="24"/>
      <w:lang w:val="x-none" w:eastAsia="ar-SA"/>
    </w:rPr>
  </w:style>
  <w:style w:type="paragraph" w:styleId="CommentText">
    <w:name w:val="annotation text"/>
    <w:basedOn w:val="Normal"/>
    <w:link w:val="CommentTextChar"/>
    <w:uiPriority w:val="99"/>
    <w:rsid w:val="008E07BB"/>
    <w:rPr>
      <w:sz w:val="20"/>
      <w:szCs w:val="20"/>
      <w:lang w:val="x-none"/>
    </w:rPr>
  </w:style>
  <w:style w:type="character" w:customStyle="1" w:styleId="CommentTextChar">
    <w:name w:val="Comment Text Char"/>
    <w:basedOn w:val="DefaultParagraphFont"/>
    <w:link w:val="CommentText"/>
    <w:uiPriority w:val="99"/>
    <w:rsid w:val="008E07BB"/>
    <w:rPr>
      <w:rFonts w:ascii="Times New Roman" w:eastAsia="Times New Roman" w:hAnsi="Times New Roman" w:cs="Times New Roman"/>
      <w:sz w:val="20"/>
      <w:szCs w:val="20"/>
      <w:lang w:val="x-none" w:eastAsia="ar-SA"/>
    </w:rPr>
  </w:style>
  <w:style w:type="paragraph" w:styleId="BalloonText">
    <w:name w:val="Balloon Text"/>
    <w:basedOn w:val="Normal"/>
    <w:link w:val="BalloonTextChar"/>
    <w:uiPriority w:val="99"/>
    <w:semiHidden/>
    <w:unhideWhenUsed/>
    <w:rsid w:val="008E07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7BB"/>
    <w:rPr>
      <w:rFonts w:ascii="Segoe UI" w:eastAsia="Times New Roman" w:hAnsi="Segoe UI" w:cs="Segoe UI"/>
      <w:sz w:val="18"/>
      <w:szCs w:val="18"/>
      <w:lang w:eastAsia="ar-SA"/>
    </w:rPr>
  </w:style>
  <w:style w:type="paragraph" w:styleId="CommentSubject">
    <w:name w:val="annotation subject"/>
    <w:basedOn w:val="CommentText"/>
    <w:next w:val="CommentText"/>
    <w:link w:val="CommentSubjectChar"/>
    <w:uiPriority w:val="99"/>
    <w:semiHidden/>
    <w:unhideWhenUsed/>
    <w:rsid w:val="008E07BB"/>
    <w:rPr>
      <w:b/>
      <w:bCs/>
      <w:lang w:val="en-US"/>
    </w:rPr>
  </w:style>
  <w:style w:type="character" w:customStyle="1" w:styleId="CommentSubjectChar">
    <w:name w:val="Comment Subject Char"/>
    <w:basedOn w:val="CommentTextChar"/>
    <w:link w:val="CommentSubject"/>
    <w:uiPriority w:val="99"/>
    <w:semiHidden/>
    <w:rsid w:val="008E07BB"/>
    <w:rPr>
      <w:rFonts w:ascii="Times New Roman" w:eastAsia="Times New Roman" w:hAnsi="Times New Roman" w:cs="Times New Roman"/>
      <w:b/>
      <w:bCs/>
      <w:sz w:val="20"/>
      <w:szCs w:val="20"/>
      <w:lang w:val="x-none" w:eastAsia="ar-SA"/>
    </w:rPr>
  </w:style>
  <w:style w:type="paragraph" w:styleId="Revision">
    <w:name w:val="Revision"/>
    <w:hidden/>
    <w:uiPriority w:val="99"/>
    <w:semiHidden/>
    <w:rsid w:val="009F5EFE"/>
    <w:pPr>
      <w:spacing w:after="0" w:line="240" w:lineRule="auto"/>
    </w:pPr>
    <w:rPr>
      <w:rFonts w:ascii="Times New Roman" w:eastAsia="Times New Roman" w:hAnsi="Times New Roman" w:cs="Times New Roman"/>
      <w:sz w:val="24"/>
      <w:szCs w:val="24"/>
      <w:lang w:eastAsia="ar-SA"/>
    </w:rPr>
  </w:style>
  <w:style w:type="paragraph" w:styleId="ListParagraph">
    <w:name w:val="List Paragraph"/>
    <w:aliases w:val="Bullets,References,123 List Paragraph,Celula,Normal 2,List Paragraph (numbered (a)),List_Paragraph,Multilevel para_II,Numbered List Paragraph,Numbered Paragraph,Main numbered paragraph,Left Bullet L1,Table/Figure Heading,List Paragraph1"/>
    <w:basedOn w:val="Normal"/>
    <w:link w:val="ListParagraphChar"/>
    <w:uiPriority w:val="34"/>
    <w:qFormat/>
    <w:rsid w:val="0028746A"/>
    <w:pPr>
      <w:spacing w:before="100" w:beforeAutospacing="1"/>
      <w:ind w:left="720"/>
      <w:contextualSpacing/>
    </w:pPr>
  </w:style>
  <w:style w:type="character" w:customStyle="1" w:styleId="ListParagraphChar">
    <w:name w:val="List Paragraph Char"/>
    <w:aliases w:val="Bullets Char,References Char,123 List Paragraph Char,Celula Char,Normal 2 Char,List Paragraph (numbered (a)) Char,List_Paragraph Char,Multilevel para_II Char,Numbered List Paragraph Char,Numbered Paragraph Char,Left Bullet L1 Char"/>
    <w:link w:val="ListParagraph"/>
    <w:uiPriority w:val="34"/>
    <w:qFormat/>
    <w:locked/>
    <w:rsid w:val="0028746A"/>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uiPriority w:val="9"/>
    <w:rsid w:val="0070639E"/>
    <w:rPr>
      <w:rFonts w:ascii="Times New Roman" w:eastAsia="Times New Roman" w:hAnsi="Times New Roman" w:cs="Times New Roman"/>
      <w:b/>
      <w:bCs/>
      <w:sz w:val="24"/>
      <w:szCs w:val="24"/>
      <w:lang w:eastAsia="ar-SA"/>
    </w:rPr>
  </w:style>
  <w:style w:type="paragraph" w:styleId="NormalWeb">
    <w:name w:val="Normal (Web)"/>
    <w:basedOn w:val="Normal"/>
    <w:uiPriority w:val="99"/>
    <w:unhideWhenUsed/>
    <w:rsid w:val="0002322D"/>
  </w:style>
  <w:style w:type="character" w:customStyle="1" w:styleId="Heading1Char">
    <w:name w:val="Heading 1 Char"/>
    <w:basedOn w:val="DefaultParagraphFont"/>
    <w:link w:val="Heading1"/>
    <w:uiPriority w:val="9"/>
    <w:rsid w:val="004E7320"/>
    <w:rPr>
      <w:rFonts w:ascii="Times New Roman" w:eastAsia="Times New Roman" w:hAnsi="Times New Roman" w:cs="Times New Roman"/>
      <w:b/>
      <w:sz w:val="28"/>
      <w:szCs w:val="24"/>
      <w:lang w:val="en-GB" w:eastAsia="ar-SA"/>
    </w:rPr>
  </w:style>
  <w:style w:type="character" w:styleId="Strong">
    <w:name w:val="Strong"/>
    <w:basedOn w:val="DefaultParagraphFont"/>
    <w:uiPriority w:val="22"/>
    <w:qFormat/>
    <w:rsid w:val="00322803"/>
    <w:rPr>
      <w:b/>
      <w:bCs/>
    </w:rPr>
  </w:style>
  <w:style w:type="paragraph" w:customStyle="1" w:styleId="Text">
    <w:name w:val="Text"/>
    <w:basedOn w:val="Normal"/>
    <w:qFormat/>
    <w:rsid w:val="006C7F7A"/>
    <w:pPr>
      <w:tabs>
        <w:tab w:val="left" w:pos="810"/>
      </w:tabs>
      <w:spacing w:after="100" w:afterAutospacing="1"/>
      <w:jc w:val="both"/>
    </w:pPr>
    <w:rPr>
      <w:rFonts w:eastAsia="Calibri"/>
    </w:rPr>
  </w:style>
  <w:style w:type="paragraph" w:styleId="BodyText">
    <w:name w:val="Body Text"/>
    <w:basedOn w:val="Normal"/>
    <w:link w:val="BodyTextChar"/>
    <w:uiPriority w:val="1"/>
    <w:qFormat/>
    <w:rsid w:val="00A41D1D"/>
    <w:pPr>
      <w:widowControl w:val="0"/>
      <w:suppressAutoHyphens w:val="0"/>
      <w:autoSpaceDE w:val="0"/>
      <w:autoSpaceDN w:val="0"/>
      <w:ind w:left="470"/>
      <w:jc w:val="both"/>
    </w:pPr>
    <w:rPr>
      <w:lang w:eastAsia="en-US"/>
    </w:rPr>
  </w:style>
  <w:style w:type="character" w:customStyle="1" w:styleId="BodyTextChar">
    <w:name w:val="Body Text Char"/>
    <w:basedOn w:val="DefaultParagraphFont"/>
    <w:link w:val="BodyText"/>
    <w:uiPriority w:val="1"/>
    <w:rsid w:val="00A41D1D"/>
    <w:rPr>
      <w:rFonts w:ascii="Times New Roman" w:eastAsia="Times New Roman" w:hAnsi="Times New Roman" w:cs="Times New Roman"/>
      <w:sz w:val="24"/>
      <w:szCs w:val="24"/>
    </w:rPr>
  </w:style>
  <w:style w:type="table" w:styleId="TableGrid">
    <w:name w:val="Table Grid"/>
    <w:basedOn w:val="TableNormal"/>
    <w:uiPriority w:val="39"/>
    <w:rsid w:val="00A41D1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630C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213E"/>
    <w:rPr>
      <w:color w:val="0563C1" w:themeColor="hyperlink"/>
      <w:u w:val="single"/>
    </w:rPr>
  </w:style>
  <w:style w:type="character" w:customStyle="1" w:styleId="UnresolvedMention1">
    <w:name w:val="Unresolved Mention1"/>
    <w:basedOn w:val="DefaultParagraphFont"/>
    <w:uiPriority w:val="99"/>
    <w:semiHidden/>
    <w:unhideWhenUsed/>
    <w:rsid w:val="00C0213E"/>
    <w:rPr>
      <w:color w:val="605E5C"/>
      <w:shd w:val="clear" w:color="auto" w:fill="E1DFDD"/>
    </w:rPr>
  </w:style>
  <w:style w:type="character" w:customStyle="1" w:styleId="Heading4Char">
    <w:name w:val="Heading 4 Char"/>
    <w:basedOn w:val="DefaultParagraphFont"/>
    <w:link w:val="Heading4"/>
    <w:uiPriority w:val="9"/>
    <w:semiHidden/>
    <w:rsid w:val="006C4F39"/>
    <w:rPr>
      <w:rFonts w:asciiTheme="majorHAnsi" w:eastAsiaTheme="majorEastAsia" w:hAnsiTheme="majorHAnsi" w:cstheme="majorBidi"/>
      <w:i/>
      <w:iCs/>
      <w:color w:val="2E74B5" w:themeColor="accent1" w:themeShade="BF"/>
      <w:sz w:val="24"/>
      <w:szCs w:val="24"/>
      <w:lang w:eastAsia="ar-SA"/>
    </w:rPr>
  </w:style>
  <w:style w:type="paragraph" w:styleId="FootnoteText">
    <w:name w:val="footnote text"/>
    <w:basedOn w:val="Normal"/>
    <w:link w:val="FootnoteTextChar"/>
    <w:uiPriority w:val="99"/>
    <w:semiHidden/>
    <w:unhideWhenUsed/>
    <w:rsid w:val="00CD5464"/>
    <w:rPr>
      <w:sz w:val="20"/>
      <w:szCs w:val="20"/>
    </w:rPr>
  </w:style>
  <w:style w:type="character" w:customStyle="1" w:styleId="FootnoteTextChar">
    <w:name w:val="Footnote Text Char"/>
    <w:basedOn w:val="DefaultParagraphFont"/>
    <w:link w:val="FootnoteText"/>
    <w:uiPriority w:val="99"/>
    <w:semiHidden/>
    <w:rsid w:val="00CD5464"/>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CD54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1175">
      <w:bodyDiv w:val="1"/>
      <w:marLeft w:val="0"/>
      <w:marRight w:val="0"/>
      <w:marTop w:val="0"/>
      <w:marBottom w:val="0"/>
      <w:divBdr>
        <w:top w:val="none" w:sz="0" w:space="0" w:color="auto"/>
        <w:left w:val="none" w:sz="0" w:space="0" w:color="auto"/>
        <w:bottom w:val="none" w:sz="0" w:space="0" w:color="auto"/>
        <w:right w:val="none" w:sz="0" w:space="0" w:color="auto"/>
      </w:divBdr>
    </w:div>
    <w:div w:id="67853059">
      <w:bodyDiv w:val="1"/>
      <w:marLeft w:val="0"/>
      <w:marRight w:val="0"/>
      <w:marTop w:val="0"/>
      <w:marBottom w:val="0"/>
      <w:divBdr>
        <w:top w:val="none" w:sz="0" w:space="0" w:color="auto"/>
        <w:left w:val="none" w:sz="0" w:space="0" w:color="auto"/>
        <w:bottom w:val="none" w:sz="0" w:space="0" w:color="auto"/>
        <w:right w:val="none" w:sz="0" w:space="0" w:color="auto"/>
      </w:divBdr>
    </w:div>
    <w:div w:id="75516188">
      <w:bodyDiv w:val="1"/>
      <w:marLeft w:val="0"/>
      <w:marRight w:val="0"/>
      <w:marTop w:val="0"/>
      <w:marBottom w:val="0"/>
      <w:divBdr>
        <w:top w:val="none" w:sz="0" w:space="0" w:color="auto"/>
        <w:left w:val="none" w:sz="0" w:space="0" w:color="auto"/>
        <w:bottom w:val="none" w:sz="0" w:space="0" w:color="auto"/>
        <w:right w:val="none" w:sz="0" w:space="0" w:color="auto"/>
      </w:divBdr>
    </w:div>
    <w:div w:id="115024044">
      <w:bodyDiv w:val="1"/>
      <w:marLeft w:val="0"/>
      <w:marRight w:val="0"/>
      <w:marTop w:val="0"/>
      <w:marBottom w:val="0"/>
      <w:divBdr>
        <w:top w:val="none" w:sz="0" w:space="0" w:color="auto"/>
        <w:left w:val="none" w:sz="0" w:space="0" w:color="auto"/>
        <w:bottom w:val="none" w:sz="0" w:space="0" w:color="auto"/>
        <w:right w:val="none" w:sz="0" w:space="0" w:color="auto"/>
      </w:divBdr>
    </w:div>
    <w:div w:id="119543256">
      <w:bodyDiv w:val="1"/>
      <w:marLeft w:val="0"/>
      <w:marRight w:val="0"/>
      <w:marTop w:val="0"/>
      <w:marBottom w:val="0"/>
      <w:divBdr>
        <w:top w:val="none" w:sz="0" w:space="0" w:color="auto"/>
        <w:left w:val="none" w:sz="0" w:space="0" w:color="auto"/>
        <w:bottom w:val="none" w:sz="0" w:space="0" w:color="auto"/>
        <w:right w:val="none" w:sz="0" w:space="0" w:color="auto"/>
      </w:divBdr>
    </w:div>
    <w:div w:id="176316403">
      <w:bodyDiv w:val="1"/>
      <w:marLeft w:val="0"/>
      <w:marRight w:val="0"/>
      <w:marTop w:val="0"/>
      <w:marBottom w:val="0"/>
      <w:divBdr>
        <w:top w:val="none" w:sz="0" w:space="0" w:color="auto"/>
        <w:left w:val="none" w:sz="0" w:space="0" w:color="auto"/>
        <w:bottom w:val="none" w:sz="0" w:space="0" w:color="auto"/>
        <w:right w:val="none" w:sz="0" w:space="0" w:color="auto"/>
      </w:divBdr>
    </w:div>
    <w:div w:id="183325495">
      <w:bodyDiv w:val="1"/>
      <w:marLeft w:val="0"/>
      <w:marRight w:val="0"/>
      <w:marTop w:val="0"/>
      <w:marBottom w:val="0"/>
      <w:divBdr>
        <w:top w:val="none" w:sz="0" w:space="0" w:color="auto"/>
        <w:left w:val="none" w:sz="0" w:space="0" w:color="auto"/>
        <w:bottom w:val="none" w:sz="0" w:space="0" w:color="auto"/>
        <w:right w:val="none" w:sz="0" w:space="0" w:color="auto"/>
      </w:divBdr>
    </w:div>
    <w:div w:id="198125717">
      <w:bodyDiv w:val="1"/>
      <w:marLeft w:val="0"/>
      <w:marRight w:val="0"/>
      <w:marTop w:val="0"/>
      <w:marBottom w:val="0"/>
      <w:divBdr>
        <w:top w:val="none" w:sz="0" w:space="0" w:color="auto"/>
        <w:left w:val="none" w:sz="0" w:space="0" w:color="auto"/>
        <w:bottom w:val="none" w:sz="0" w:space="0" w:color="auto"/>
        <w:right w:val="none" w:sz="0" w:space="0" w:color="auto"/>
      </w:divBdr>
    </w:div>
    <w:div w:id="212497787">
      <w:bodyDiv w:val="1"/>
      <w:marLeft w:val="0"/>
      <w:marRight w:val="0"/>
      <w:marTop w:val="0"/>
      <w:marBottom w:val="0"/>
      <w:divBdr>
        <w:top w:val="none" w:sz="0" w:space="0" w:color="auto"/>
        <w:left w:val="none" w:sz="0" w:space="0" w:color="auto"/>
        <w:bottom w:val="none" w:sz="0" w:space="0" w:color="auto"/>
        <w:right w:val="none" w:sz="0" w:space="0" w:color="auto"/>
      </w:divBdr>
    </w:div>
    <w:div w:id="217516585">
      <w:bodyDiv w:val="1"/>
      <w:marLeft w:val="0"/>
      <w:marRight w:val="0"/>
      <w:marTop w:val="0"/>
      <w:marBottom w:val="0"/>
      <w:divBdr>
        <w:top w:val="none" w:sz="0" w:space="0" w:color="auto"/>
        <w:left w:val="none" w:sz="0" w:space="0" w:color="auto"/>
        <w:bottom w:val="none" w:sz="0" w:space="0" w:color="auto"/>
        <w:right w:val="none" w:sz="0" w:space="0" w:color="auto"/>
      </w:divBdr>
    </w:div>
    <w:div w:id="257830528">
      <w:bodyDiv w:val="1"/>
      <w:marLeft w:val="0"/>
      <w:marRight w:val="0"/>
      <w:marTop w:val="0"/>
      <w:marBottom w:val="0"/>
      <w:divBdr>
        <w:top w:val="none" w:sz="0" w:space="0" w:color="auto"/>
        <w:left w:val="none" w:sz="0" w:space="0" w:color="auto"/>
        <w:bottom w:val="none" w:sz="0" w:space="0" w:color="auto"/>
        <w:right w:val="none" w:sz="0" w:space="0" w:color="auto"/>
      </w:divBdr>
    </w:div>
    <w:div w:id="295527200">
      <w:bodyDiv w:val="1"/>
      <w:marLeft w:val="0"/>
      <w:marRight w:val="0"/>
      <w:marTop w:val="0"/>
      <w:marBottom w:val="0"/>
      <w:divBdr>
        <w:top w:val="none" w:sz="0" w:space="0" w:color="auto"/>
        <w:left w:val="none" w:sz="0" w:space="0" w:color="auto"/>
        <w:bottom w:val="none" w:sz="0" w:space="0" w:color="auto"/>
        <w:right w:val="none" w:sz="0" w:space="0" w:color="auto"/>
      </w:divBdr>
    </w:div>
    <w:div w:id="295641795">
      <w:bodyDiv w:val="1"/>
      <w:marLeft w:val="0"/>
      <w:marRight w:val="0"/>
      <w:marTop w:val="0"/>
      <w:marBottom w:val="0"/>
      <w:divBdr>
        <w:top w:val="none" w:sz="0" w:space="0" w:color="auto"/>
        <w:left w:val="none" w:sz="0" w:space="0" w:color="auto"/>
        <w:bottom w:val="none" w:sz="0" w:space="0" w:color="auto"/>
        <w:right w:val="none" w:sz="0" w:space="0" w:color="auto"/>
      </w:divBdr>
    </w:div>
    <w:div w:id="331186037">
      <w:bodyDiv w:val="1"/>
      <w:marLeft w:val="0"/>
      <w:marRight w:val="0"/>
      <w:marTop w:val="0"/>
      <w:marBottom w:val="0"/>
      <w:divBdr>
        <w:top w:val="none" w:sz="0" w:space="0" w:color="auto"/>
        <w:left w:val="none" w:sz="0" w:space="0" w:color="auto"/>
        <w:bottom w:val="none" w:sz="0" w:space="0" w:color="auto"/>
        <w:right w:val="none" w:sz="0" w:space="0" w:color="auto"/>
      </w:divBdr>
    </w:div>
    <w:div w:id="410548640">
      <w:bodyDiv w:val="1"/>
      <w:marLeft w:val="0"/>
      <w:marRight w:val="0"/>
      <w:marTop w:val="0"/>
      <w:marBottom w:val="0"/>
      <w:divBdr>
        <w:top w:val="none" w:sz="0" w:space="0" w:color="auto"/>
        <w:left w:val="none" w:sz="0" w:space="0" w:color="auto"/>
        <w:bottom w:val="none" w:sz="0" w:space="0" w:color="auto"/>
        <w:right w:val="none" w:sz="0" w:space="0" w:color="auto"/>
      </w:divBdr>
    </w:div>
    <w:div w:id="411583575">
      <w:bodyDiv w:val="1"/>
      <w:marLeft w:val="0"/>
      <w:marRight w:val="0"/>
      <w:marTop w:val="0"/>
      <w:marBottom w:val="0"/>
      <w:divBdr>
        <w:top w:val="none" w:sz="0" w:space="0" w:color="auto"/>
        <w:left w:val="none" w:sz="0" w:space="0" w:color="auto"/>
        <w:bottom w:val="none" w:sz="0" w:space="0" w:color="auto"/>
        <w:right w:val="none" w:sz="0" w:space="0" w:color="auto"/>
      </w:divBdr>
    </w:div>
    <w:div w:id="417948740">
      <w:bodyDiv w:val="1"/>
      <w:marLeft w:val="0"/>
      <w:marRight w:val="0"/>
      <w:marTop w:val="0"/>
      <w:marBottom w:val="0"/>
      <w:divBdr>
        <w:top w:val="none" w:sz="0" w:space="0" w:color="auto"/>
        <w:left w:val="none" w:sz="0" w:space="0" w:color="auto"/>
        <w:bottom w:val="none" w:sz="0" w:space="0" w:color="auto"/>
        <w:right w:val="none" w:sz="0" w:space="0" w:color="auto"/>
      </w:divBdr>
    </w:div>
    <w:div w:id="426925152">
      <w:bodyDiv w:val="1"/>
      <w:marLeft w:val="0"/>
      <w:marRight w:val="0"/>
      <w:marTop w:val="0"/>
      <w:marBottom w:val="0"/>
      <w:divBdr>
        <w:top w:val="none" w:sz="0" w:space="0" w:color="auto"/>
        <w:left w:val="none" w:sz="0" w:space="0" w:color="auto"/>
        <w:bottom w:val="none" w:sz="0" w:space="0" w:color="auto"/>
        <w:right w:val="none" w:sz="0" w:space="0" w:color="auto"/>
      </w:divBdr>
    </w:div>
    <w:div w:id="436826794">
      <w:bodyDiv w:val="1"/>
      <w:marLeft w:val="0"/>
      <w:marRight w:val="0"/>
      <w:marTop w:val="0"/>
      <w:marBottom w:val="0"/>
      <w:divBdr>
        <w:top w:val="none" w:sz="0" w:space="0" w:color="auto"/>
        <w:left w:val="none" w:sz="0" w:space="0" w:color="auto"/>
        <w:bottom w:val="none" w:sz="0" w:space="0" w:color="auto"/>
        <w:right w:val="none" w:sz="0" w:space="0" w:color="auto"/>
      </w:divBdr>
    </w:div>
    <w:div w:id="439685499">
      <w:bodyDiv w:val="1"/>
      <w:marLeft w:val="0"/>
      <w:marRight w:val="0"/>
      <w:marTop w:val="0"/>
      <w:marBottom w:val="0"/>
      <w:divBdr>
        <w:top w:val="none" w:sz="0" w:space="0" w:color="auto"/>
        <w:left w:val="none" w:sz="0" w:space="0" w:color="auto"/>
        <w:bottom w:val="none" w:sz="0" w:space="0" w:color="auto"/>
        <w:right w:val="none" w:sz="0" w:space="0" w:color="auto"/>
      </w:divBdr>
    </w:div>
    <w:div w:id="445003796">
      <w:bodyDiv w:val="1"/>
      <w:marLeft w:val="0"/>
      <w:marRight w:val="0"/>
      <w:marTop w:val="0"/>
      <w:marBottom w:val="0"/>
      <w:divBdr>
        <w:top w:val="none" w:sz="0" w:space="0" w:color="auto"/>
        <w:left w:val="none" w:sz="0" w:space="0" w:color="auto"/>
        <w:bottom w:val="none" w:sz="0" w:space="0" w:color="auto"/>
        <w:right w:val="none" w:sz="0" w:space="0" w:color="auto"/>
      </w:divBdr>
    </w:div>
    <w:div w:id="466046430">
      <w:bodyDiv w:val="1"/>
      <w:marLeft w:val="0"/>
      <w:marRight w:val="0"/>
      <w:marTop w:val="0"/>
      <w:marBottom w:val="0"/>
      <w:divBdr>
        <w:top w:val="none" w:sz="0" w:space="0" w:color="auto"/>
        <w:left w:val="none" w:sz="0" w:space="0" w:color="auto"/>
        <w:bottom w:val="none" w:sz="0" w:space="0" w:color="auto"/>
        <w:right w:val="none" w:sz="0" w:space="0" w:color="auto"/>
      </w:divBdr>
    </w:div>
    <w:div w:id="470561035">
      <w:bodyDiv w:val="1"/>
      <w:marLeft w:val="0"/>
      <w:marRight w:val="0"/>
      <w:marTop w:val="0"/>
      <w:marBottom w:val="0"/>
      <w:divBdr>
        <w:top w:val="none" w:sz="0" w:space="0" w:color="auto"/>
        <w:left w:val="none" w:sz="0" w:space="0" w:color="auto"/>
        <w:bottom w:val="none" w:sz="0" w:space="0" w:color="auto"/>
        <w:right w:val="none" w:sz="0" w:space="0" w:color="auto"/>
      </w:divBdr>
      <w:divsChild>
        <w:div w:id="311175355">
          <w:marLeft w:val="0"/>
          <w:marRight w:val="0"/>
          <w:marTop w:val="0"/>
          <w:marBottom w:val="0"/>
          <w:divBdr>
            <w:top w:val="none" w:sz="0" w:space="0" w:color="auto"/>
            <w:left w:val="none" w:sz="0" w:space="0" w:color="auto"/>
            <w:bottom w:val="none" w:sz="0" w:space="0" w:color="auto"/>
            <w:right w:val="none" w:sz="0" w:space="0" w:color="auto"/>
          </w:divBdr>
          <w:divsChild>
            <w:div w:id="95567089">
              <w:marLeft w:val="0"/>
              <w:marRight w:val="0"/>
              <w:marTop w:val="0"/>
              <w:marBottom w:val="0"/>
              <w:divBdr>
                <w:top w:val="none" w:sz="0" w:space="0" w:color="auto"/>
                <w:left w:val="none" w:sz="0" w:space="0" w:color="auto"/>
                <w:bottom w:val="none" w:sz="0" w:space="0" w:color="auto"/>
                <w:right w:val="none" w:sz="0" w:space="0" w:color="auto"/>
              </w:divBdr>
              <w:divsChild>
                <w:div w:id="1739283005">
                  <w:marLeft w:val="0"/>
                  <w:marRight w:val="0"/>
                  <w:marTop w:val="0"/>
                  <w:marBottom w:val="0"/>
                  <w:divBdr>
                    <w:top w:val="none" w:sz="0" w:space="0" w:color="auto"/>
                    <w:left w:val="none" w:sz="0" w:space="0" w:color="auto"/>
                    <w:bottom w:val="none" w:sz="0" w:space="0" w:color="auto"/>
                    <w:right w:val="none" w:sz="0" w:space="0" w:color="auto"/>
                  </w:divBdr>
                  <w:divsChild>
                    <w:div w:id="75798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63161">
      <w:bodyDiv w:val="1"/>
      <w:marLeft w:val="0"/>
      <w:marRight w:val="0"/>
      <w:marTop w:val="0"/>
      <w:marBottom w:val="0"/>
      <w:divBdr>
        <w:top w:val="none" w:sz="0" w:space="0" w:color="auto"/>
        <w:left w:val="none" w:sz="0" w:space="0" w:color="auto"/>
        <w:bottom w:val="none" w:sz="0" w:space="0" w:color="auto"/>
        <w:right w:val="none" w:sz="0" w:space="0" w:color="auto"/>
      </w:divBdr>
    </w:div>
    <w:div w:id="551962980">
      <w:bodyDiv w:val="1"/>
      <w:marLeft w:val="0"/>
      <w:marRight w:val="0"/>
      <w:marTop w:val="0"/>
      <w:marBottom w:val="0"/>
      <w:divBdr>
        <w:top w:val="none" w:sz="0" w:space="0" w:color="auto"/>
        <w:left w:val="none" w:sz="0" w:space="0" w:color="auto"/>
        <w:bottom w:val="none" w:sz="0" w:space="0" w:color="auto"/>
        <w:right w:val="none" w:sz="0" w:space="0" w:color="auto"/>
      </w:divBdr>
    </w:div>
    <w:div w:id="607739527">
      <w:bodyDiv w:val="1"/>
      <w:marLeft w:val="0"/>
      <w:marRight w:val="0"/>
      <w:marTop w:val="0"/>
      <w:marBottom w:val="0"/>
      <w:divBdr>
        <w:top w:val="none" w:sz="0" w:space="0" w:color="auto"/>
        <w:left w:val="none" w:sz="0" w:space="0" w:color="auto"/>
        <w:bottom w:val="none" w:sz="0" w:space="0" w:color="auto"/>
        <w:right w:val="none" w:sz="0" w:space="0" w:color="auto"/>
      </w:divBdr>
    </w:div>
    <w:div w:id="620653640">
      <w:bodyDiv w:val="1"/>
      <w:marLeft w:val="0"/>
      <w:marRight w:val="0"/>
      <w:marTop w:val="0"/>
      <w:marBottom w:val="0"/>
      <w:divBdr>
        <w:top w:val="none" w:sz="0" w:space="0" w:color="auto"/>
        <w:left w:val="none" w:sz="0" w:space="0" w:color="auto"/>
        <w:bottom w:val="none" w:sz="0" w:space="0" w:color="auto"/>
        <w:right w:val="none" w:sz="0" w:space="0" w:color="auto"/>
      </w:divBdr>
    </w:div>
    <w:div w:id="625817902">
      <w:bodyDiv w:val="1"/>
      <w:marLeft w:val="0"/>
      <w:marRight w:val="0"/>
      <w:marTop w:val="0"/>
      <w:marBottom w:val="0"/>
      <w:divBdr>
        <w:top w:val="none" w:sz="0" w:space="0" w:color="auto"/>
        <w:left w:val="none" w:sz="0" w:space="0" w:color="auto"/>
        <w:bottom w:val="none" w:sz="0" w:space="0" w:color="auto"/>
        <w:right w:val="none" w:sz="0" w:space="0" w:color="auto"/>
      </w:divBdr>
      <w:divsChild>
        <w:div w:id="1119449747">
          <w:marLeft w:val="0"/>
          <w:marRight w:val="0"/>
          <w:marTop w:val="0"/>
          <w:marBottom w:val="0"/>
          <w:divBdr>
            <w:top w:val="none" w:sz="0" w:space="0" w:color="auto"/>
            <w:left w:val="none" w:sz="0" w:space="0" w:color="auto"/>
            <w:bottom w:val="none" w:sz="0" w:space="0" w:color="auto"/>
            <w:right w:val="none" w:sz="0" w:space="0" w:color="auto"/>
          </w:divBdr>
          <w:divsChild>
            <w:div w:id="677779793">
              <w:marLeft w:val="0"/>
              <w:marRight w:val="0"/>
              <w:marTop w:val="0"/>
              <w:marBottom w:val="0"/>
              <w:divBdr>
                <w:top w:val="none" w:sz="0" w:space="0" w:color="auto"/>
                <w:left w:val="none" w:sz="0" w:space="0" w:color="auto"/>
                <w:bottom w:val="none" w:sz="0" w:space="0" w:color="auto"/>
                <w:right w:val="none" w:sz="0" w:space="0" w:color="auto"/>
              </w:divBdr>
              <w:divsChild>
                <w:div w:id="660043949">
                  <w:marLeft w:val="0"/>
                  <w:marRight w:val="0"/>
                  <w:marTop w:val="0"/>
                  <w:marBottom w:val="0"/>
                  <w:divBdr>
                    <w:top w:val="none" w:sz="0" w:space="0" w:color="auto"/>
                    <w:left w:val="none" w:sz="0" w:space="0" w:color="auto"/>
                    <w:bottom w:val="none" w:sz="0" w:space="0" w:color="auto"/>
                    <w:right w:val="none" w:sz="0" w:space="0" w:color="auto"/>
                  </w:divBdr>
                  <w:divsChild>
                    <w:div w:id="1796757671">
                      <w:marLeft w:val="0"/>
                      <w:marRight w:val="0"/>
                      <w:marTop w:val="0"/>
                      <w:marBottom w:val="0"/>
                      <w:divBdr>
                        <w:top w:val="none" w:sz="0" w:space="0" w:color="auto"/>
                        <w:left w:val="none" w:sz="0" w:space="0" w:color="auto"/>
                        <w:bottom w:val="none" w:sz="0" w:space="0" w:color="auto"/>
                        <w:right w:val="none" w:sz="0" w:space="0" w:color="auto"/>
                      </w:divBdr>
                      <w:divsChild>
                        <w:div w:id="288362687">
                          <w:marLeft w:val="0"/>
                          <w:marRight w:val="0"/>
                          <w:marTop w:val="0"/>
                          <w:marBottom w:val="0"/>
                          <w:divBdr>
                            <w:top w:val="none" w:sz="0" w:space="0" w:color="auto"/>
                            <w:left w:val="none" w:sz="0" w:space="0" w:color="auto"/>
                            <w:bottom w:val="none" w:sz="0" w:space="0" w:color="auto"/>
                            <w:right w:val="none" w:sz="0" w:space="0" w:color="auto"/>
                          </w:divBdr>
                          <w:divsChild>
                            <w:div w:id="72044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502371">
      <w:bodyDiv w:val="1"/>
      <w:marLeft w:val="0"/>
      <w:marRight w:val="0"/>
      <w:marTop w:val="0"/>
      <w:marBottom w:val="0"/>
      <w:divBdr>
        <w:top w:val="none" w:sz="0" w:space="0" w:color="auto"/>
        <w:left w:val="none" w:sz="0" w:space="0" w:color="auto"/>
        <w:bottom w:val="none" w:sz="0" w:space="0" w:color="auto"/>
        <w:right w:val="none" w:sz="0" w:space="0" w:color="auto"/>
      </w:divBdr>
    </w:div>
    <w:div w:id="696467186">
      <w:bodyDiv w:val="1"/>
      <w:marLeft w:val="0"/>
      <w:marRight w:val="0"/>
      <w:marTop w:val="0"/>
      <w:marBottom w:val="0"/>
      <w:divBdr>
        <w:top w:val="none" w:sz="0" w:space="0" w:color="auto"/>
        <w:left w:val="none" w:sz="0" w:space="0" w:color="auto"/>
        <w:bottom w:val="none" w:sz="0" w:space="0" w:color="auto"/>
        <w:right w:val="none" w:sz="0" w:space="0" w:color="auto"/>
      </w:divBdr>
    </w:div>
    <w:div w:id="736365473">
      <w:bodyDiv w:val="1"/>
      <w:marLeft w:val="0"/>
      <w:marRight w:val="0"/>
      <w:marTop w:val="0"/>
      <w:marBottom w:val="0"/>
      <w:divBdr>
        <w:top w:val="none" w:sz="0" w:space="0" w:color="auto"/>
        <w:left w:val="none" w:sz="0" w:space="0" w:color="auto"/>
        <w:bottom w:val="none" w:sz="0" w:space="0" w:color="auto"/>
        <w:right w:val="none" w:sz="0" w:space="0" w:color="auto"/>
      </w:divBdr>
    </w:div>
    <w:div w:id="769818393">
      <w:bodyDiv w:val="1"/>
      <w:marLeft w:val="0"/>
      <w:marRight w:val="0"/>
      <w:marTop w:val="0"/>
      <w:marBottom w:val="0"/>
      <w:divBdr>
        <w:top w:val="none" w:sz="0" w:space="0" w:color="auto"/>
        <w:left w:val="none" w:sz="0" w:space="0" w:color="auto"/>
        <w:bottom w:val="none" w:sz="0" w:space="0" w:color="auto"/>
        <w:right w:val="none" w:sz="0" w:space="0" w:color="auto"/>
      </w:divBdr>
    </w:div>
    <w:div w:id="780341998">
      <w:bodyDiv w:val="1"/>
      <w:marLeft w:val="0"/>
      <w:marRight w:val="0"/>
      <w:marTop w:val="0"/>
      <w:marBottom w:val="0"/>
      <w:divBdr>
        <w:top w:val="none" w:sz="0" w:space="0" w:color="auto"/>
        <w:left w:val="none" w:sz="0" w:space="0" w:color="auto"/>
        <w:bottom w:val="none" w:sz="0" w:space="0" w:color="auto"/>
        <w:right w:val="none" w:sz="0" w:space="0" w:color="auto"/>
      </w:divBdr>
    </w:div>
    <w:div w:id="785541276">
      <w:bodyDiv w:val="1"/>
      <w:marLeft w:val="0"/>
      <w:marRight w:val="0"/>
      <w:marTop w:val="0"/>
      <w:marBottom w:val="0"/>
      <w:divBdr>
        <w:top w:val="none" w:sz="0" w:space="0" w:color="auto"/>
        <w:left w:val="none" w:sz="0" w:space="0" w:color="auto"/>
        <w:bottom w:val="none" w:sz="0" w:space="0" w:color="auto"/>
        <w:right w:val="none" w:sz="0" w:space="0" w:color="auto"/>
      </w:divBdr>
    </w:div>
    <w:div w:id="825315454">
      <w:bodyDiv w:val="1"/>
      <w:marLeft w:val="0"/>
      <w:marRight w:val="0"/>
      <w:marTop w:val="0"/>
      <w:marBottom w:val="0"/>
      <w:divBdr>
        <w:top w:val="none" w:sz="0" w:space="0" w:color="auto"/>
        <w:left w:val="none" w:sz="0" w:space="0" w:color="auto"/>
        <w:bottom w:val="none" w:sz="0" w:space="0" w:color="auto"/>
        <w:right w:val="none" w:sz="0" w:space="0" w:color="auto"/>
      </w:divBdr>
    </w:div>
    <w:div w:id="856967062">
      <w:bodyDiv w:val="1"/>
      <w:marLeft w:val="0"/>
      <w:marRight w:val="0"/>
      <w:marTop w:val="0"/>
      <w:marBottom w:val="0"/>
      <w:divBdr>
        <w:top w:val="none" w:sz="0" w:space="0" w:color="auto"/>
        <w:left w:val="none" w:sz="0" w:space="0" w:color="auto"/>
        <w:bottom w:val="none" w:sz="0" w:space="0" w:color="auto"/>
        <w:right w:val="none" w:sz="0" w:space="0" w:color="auto"/>
      </w:divBdr>
    </w:div>
    <w:div w:id="885944197">
      <w:bodyDiv w:val="1"/>
      <w:marLeft w:val="0"/>
      <w:marRight w:val="0"/>
      <w:marTop w:val="0"/>
      <w:marBottom w:val="0"/>
      <w:divBdr>
        <w:top w:val="none" w:sz="0" w:space="0" w:color="auto"/>
        <w:left w:val="none" w:sz="0" w:space="0" w:color="auto"/>
        <w:bottom w:val="none" w:sz="0" w:space="0" w:color="auto"/>
        <w:right w:val="none" w:sz="0" w:space="0" w:color="auto"/>
      </w:divBdr>
    </w:div>
    <w:div w:id="910234082">
      <w:bodyDiv w:val="1"/>
      <w:marLeft w:val="0"/>
      <w:marRight w:val="0"/>
      <w:marTop w:val="0"/>
      <w:marBottom w:val="0"/>
      <w:divBdr>
        <w:top w:val="none" w:sz="0" w:space="0" w:color="auto"/>
        <w:left w:val="none" w:sz="0" w:space="0" w:color="auto"/>
        <w:bottom w:val="none" w:sz="0" w:space="0" w:color="auto"/>
        <w:right w:val="none" w:sz="0" w:space="0" w:color="auto"/>
      </w:divBdr>
    </w:div>
    <w:div w:id="917523379">
      <w:bodyDiv w:val="1"/>
      <w:marLeft w:val="0"/>
      <w:marRight w:val="0"/>
      <w:marTop w:val="0"/>
      <w:marBottom w:val="0"/>
      <w:divBdr>
        <w:top w:val="none" w:sz="0" w:space="0" w:color="auto"/>
        <w:left w:val="none" w:sz="0" w:space="0" w:color="auto"/>
        <w:bottom w:val="none" w:sz="0" w:space="0" w:color="auto"/>
        <w:right w:val="none" w:sz="0" w:space="0" w:color="auto"/>
      </w:divBdr>
    </w:div>
    <w:div w:id="979382608">
      <w:bodyDiv w:val="1"/>
      <w:marLeft w:val="0"/>
      <w:marRight w:val="0"/>
      <w:marTop w:val="0"/>
      <w:marBottom w:val="0"/>
      <w:divBdr>
        <w:top w:val="none" w:sz="0" w:space="0" w:color="auto"/>
        <w:left w:val="none" w:sz="0" w:space="0" w:color="auto"/>
        <w:bottom w:val="none" w:sz="0" w:space="0" w:color="auto"/>
        <w:right w:val="none" w:sz="0" w:space="0" w:color="auto"/>
      </w:divBdr>
    </w:div>
    <w:div w:id="1012219669">
      <w:bodyDiv w:val="1"/>
      <w:marLeft w:val="0"/>
      <w:marRight w:val="0"/>
      <w:marTop w:val="0"/>
      <w:marBottom w:val="0"/>
      <w:divBdr>
        <w:top w:val="none" w:sz="0" w:space="0" w:color="auto"/>
        <w:left w:val="none" w:sz="0" w:space="0" w:color="auto"/>
        <w:bottom w:val="none" w:sz="0" w:space="0" w:color="auto"/>
        <w:right w:val="none" w:sz="0" w:space="0" w:color="auto"/>
      </w:divBdr>
    </w:div>
    <w:div w:id="1015812141">
      <w:bodyDiv w:val="1"/>
      <w:marLeft w:val="0"/>
      <w:marRight w:val="0"/>
      <w:marTop w:val="0"/>
      <w:marBottom w:val="0"/>
      <w:divBdr>
        <w:top w:val="none" w:sz="0" w:space="0" w:color="auto"/>
        <w:left w:val="none" w:sz="0" w:space="0" w:color="auto"/>
        <w:bottom w:val="none" w:sz="0" w:space="0" w:color="auto"/>
        <w:right w:val="none" w:sz="0" w:space="0" w:color="auto"/>
      </w:divBdr>
    </w:div>
    <w:div w:id="1071391750">
      <w:bodyDiv w:val="1"/>
      <w:marLeft w:val="0"/>
      <w:marRight w:val="0"/>
      <w:marTop w:val="0"/>
      <w:marBottom w:val="0"/>
      <w:divBdr>
        <w:top w:val="none" w:sz="0" w:space="0" w:color="auto"/>
        <w:left w:val="none" w:sz="0" w:space="0" w:color="auto"/>
        <w:bottom w:val="none" w:sz="0" w:space="0" w:color="auto"/>
        <w:right w:val="none" w:sz="0" w:space="0" w:color="auto"/>
      </w:divBdr>
    </w:div>
    <w:div w:id="1078330453">
      <w:bodyDiv w:val="1"/>
      <w:marLeft w:val="0"/>
      <w:marRight w:val="0"/>
      <w:marTop w:val="0"/>
      <w:marBottom w:val="0"/>
      <w:divBdr>
        <w:top w:val="none" w:sz="0" w:space="0" w:color="auto"/>
        <w:left w:val="none" w:sz="0" w:space="0" w:color="auto"/>
        <w:bottom w:val="none" w:sz="0" w:space="0" w:color="auto"/>
        <w:right w:val="none" w:sz="0" w:space="0" w:color="auto"/>
      </w:divBdr>
    </w:div>
    <w:div w:id="1098910878">
      <w:bodyDiv w:val="1"/>
      <w:marLeft w:val="0"/>
      <w:marRight w:val="0"/>
      <w:marTop w:val="0"/>
      <w:marBottom w:val="0"/>
      <w:divBdr>
        <w:top w:val="none" w:sz="0" w:space="0" w:color="auto"/>
        <w:left w:val="none" w:sz="0" w:space="0" w:color="auto"/>
        <w:bottom w:val="none" w:sz="0" w:space="0" w:color="auto"/>
        <w:right w:val="none" w:sz="0" w:space="0" w:color="auto"/>
      </w:divBdr>
    </w:div>
    <w:div w:id="1133907977">
      <w:bodyDiv w:val="1"/>
      <w:marLeft w:val="0"/>
      <w:marRight w:val="0"/>
      <w:marTop w:val="0"/>
      <w:marBottom w:val="0"/>
      <w:divBdr>
        <w:top w:val="none" w:sz="0" w:space="0" w:color="auto"/>
        <w:left w:val="none" w:sz="0" w:space="0" w:color="auto"/>
        <w:bottom w:val="none" w:sz="0" w:space="0" w:color="auto"/>
        <w:right w:val="none" w:sz="0" w:space="0" w:color="auto"/>
      </w:divBdr>
    </w:div>
    <w:div w:id="1156724156">
      <w:bodyDiv w:val="1"/>
      <w:marLeft w:val="0"/>
      <w:marRight w:val="0"/>
      <w:marTop w:val="0"/>
      <w:marBottom w:val="0"/>
      <w:divBdr>
        <w:top w:val="none" w:sz="0" w:space="0" w:color="auto"/>
        <w:left w:val="none" w:sz="0" w:space="0" w:color="auto"/>
        <w:bottom w:val="none" w:sz="0" w:space="0" w:color="auto"/>
        <w:right w:val="none" w:sz="0" w:space="0" w:color="auto"/>
      </w:divBdr>
    </w:div>
    <w:div w:id="1179735368">
      <w:bodyDiv w:val="1"/>
      <w:marLeft w:val="0"/>
      <w:marRight w:val="0"/>
      <w:marTop w:val="0"/>
      <w:marBottom w:val="0"/>
      <w:divBdr>
        <w:top w:val="none" w:sz="0" w:space="0" w:color="auto"/>
        <w:left w:val="none" w:sz="0" w:space="0" w:color="auto"/>
        <w:bottom w:val="none" w:sz="0" w:space="0" w:color="auto"/>
        <w:right w:val="none" w:sz="0" w:space="0" w:color="auto"/>
      </w:divBdr>
    </w:div>
    <w:div w:id="1301761802">
      <w:bodyDiv w:val="1"/>
      <w:marLeft w:val="0"/>
      <w:marRight w:val="0"/>
      <w:marTop w:val="0"/>
      <w:marBottom w:val="0"/>
      <w:divBdr>
        <w:top w:val="none" w:sz="0" w:space="0" w:color="auto"/>
        <w:left w:val="none" w:sz="0" w:space="0" w:color="auto"/>
        <w:bottom w:val="none" w:sz="0" w:space="0" w:color="auto"/>
        <w:right w:val="none" w:sz="0" w:space="0" w:color="auto"/>
      </w:divBdr>
    </w:div>
    <w:div w:id="1327200254">
      <w:bodyDiv w:val="1"/>
      <w:marLeft w:val="0"/>
      <w:marRight w:val="0"/>
      <w:marTop w:val="0"/>
      <w:marBottom w:val="0"/>
      <w:divBdr>
        <w:top w:val="none" w:sz="0" w:space="0" w:color="auto"/>
        <w:left w:val="none" w:sz="0" w:space="0" w:color="auto"/>
        <w:bottom w:val="none" w:sz="0" w:space="0" w:color="auto"/>
        <w:right w:val="none" w:sz="0" w:space="0" w:color="auto"/>
      </w:divBdr>
    </w:div>
    <w:div w:id="1370376562">
      <w:bodyDiv w:val="1"/>
      <w:marLeft w:val="0"/>
      <w:marRight w:val="0"/>
      <w:marTop w:val="0"/>
      <w:marBottom w:val="0"/>
      <w:divBdr>
        <w:top w:val="none" w:sz="0" w:space="0" w:color="auto"/>
        <w:left w:val="none" w:sz="0" w:space="0" w:color="auto"/>
        <w:bottom w:val="none" w:sz="0" w:space="0" w:color="auto"/>
        <w:right w:val="none" w:sz="0" w:space="0" w:color="auto"/>
      </w:divBdr>
    </w:div>
    <w:div w:id="1398430204">
      <w:bodyDiv w:val="1"/>
      <w:marLeft w:val="0"/>
      <w:marRight w:val="0"/>
      <w:marTop w:val="0"/>
      <w:marBottom w:val="0"/>
      <w:divBdr>
        <w:top w:val="none" w:sz="0" w:space="0" w:color="auto"/>
        <w:left w:val="none" w:sz="0" w:space="0" w:color="auto"/>
        <w:bottom w:val="none" w:sz="0" w:space="0" w:color="auto"/>
        <w:right w:val="none" w:sz="0" w:space="0" w:color="auto"/>
      </w:divBdr>
    </w:div>
    <w:div w:id="1453357391">
      <w:bodyDiv w:val="1"/>
      <w:marLeft w:val="0"/>
      <w:marRight w:val="0"/>
      <w:marTop w:val="0"/>
      <w:marBottom w:val="0"/>
      <w:divBdr>
        <w:top w:val="none" w:sz="0" w:space="0" w:color="auto"/>
        <w:left w:val="none" w:sz="0" w:space="0" w:color="auto"/>
        <w:bottom w:val="none" w:sz="0" w:space="0" w:color="auto"/>
        <w:right w:val="none" w:sz="0" w:space="0" w:color="auto"/>
      </w:divBdr>
    </w:div>
    <w:div w:id="1538355249">
      <w:bodyDiv w:val="1"/>
      <w:marLeft w:val="0"/>
      <w:marRight w:val="0"/>
      <w:marTop w:val="0"/>
      <w:marBottom w:val="0"/>
      <w:divBdr>
        <w:top w:val="none" w:sz="0" w:space="0" w:color="auto"/>
        <w:left w:val="none" w:sz="0" w:space="0" w:color="auto"/>
        <w:bottom w:val="none" w:sz="0" w:space="0" w:color="auto"/>
        <w:right w:val="none" w:sz="0" w:space="0" w:color="auto"/>
      </w:divBdr>
    </w:div>
    <w:div w:id="1553351553">
      <w:bodyDiv w:val="1"/>
      <w:marLeft w:val="0"/>
      <w:marRight w:val="0"/>
      <w:marTop w:val="0"/>
      <w:marBottom w:val="0"/>
      <w:divBdr>
        <w:top w:val="none" w:sz="0" w:space="0" w:color="auto"/>
        <w:left w:val="none" w:sz="0" w:space="0" w:color="auto"/>
        <w:bottom w:val="none" w:sz="0" w:space="0" w:color="auto"/>
        <w:right w:val="none" w:sz="0" w:space="0" w:color="auto"/>
      </w:divBdr>
    </w:div>
    <w:div w:id="1570462879">
      <w:bodyDiv w:val="1"/>
      <w:marLeft w:val="0"/>
      <w:marRight w:val="0"/>
      <w:marTop w:val="0"/>
      <w:marBottom w:val="0"/>
      <w:divBdr>
        <w:top w:val="none" w:sz="0" w:space="0" w:color="auto"/>
        <w:left w:val="none" w:sz="0" w:space="0" w:color="auto"/>
        <w:bottom w:val="none" w:sz="0" w:space="0" w:color="auto"/>
        <w:right w:val="none" w:sz="0" w:space="0" w:color="auto"/>
      </w:divBdr>
    </w:div>
    <w:div w:id="1577322912">
      <w:bodyDiv w:val="1"/>
      <w:marLeft w:val="0"/>
      <w:marRight w:val="0"/>
      <w:marTop w:val="0"/>
      <w:marBottom w:val="0"/>
      <w:divBdr>
        <w:top w:val="none" w:sz="0" w:space="0" w:color="auto"/>
        <w:left w:val="none" w:sz="0" w:space="0" w:color="auto"/>
        <w:bottom w:val="none" w:sz="0" w:space="0" w:color="auto"/>
        <w:right w:val="none" w:sz="0" w:space="0" w:color="auto"/>
      </w:divBdr>
    </w:div>
    <w:div w:id="1610308861">
      <w:bodyDiv w:val="1"/>
      <w:marLeft w:val="0"/>
      <w:marRight w:val="0"/>
      <w:marTop w:val="0"/>
      <w:marBottom w:val="0"/>
      <w:divBdr>
        <w:top w:val="none" w:sz="0" w:space="0" w:color="auto"/>
        <w:left w:val="none" w:sz="0" w:space="0" w:color="auto"/>
        <w:bottom w:val="none" w:sz="0" w:space="0" w:color="auto"/>
        <w:right w:val="none" w:sz="0" w:space="0" w:color="auto"/>
      </w:divBdr>
    </w:div>
    <w:div w:id="1624190376">
      <w:bodyDiv w:val="1"/>
      <w:marLeft w:val="0"/>
      <w:marRight w:val="0"/>
      <w:marTop w:val="0"/>
      <w:marBottom w:val="0"/>
      <w:divBdr>
        <w:top w:val="none" w:sz="0" w:space="0" w:color="auto"/>
        <w:left w:val="none" w:sz="0" w:space="0" w:color="auto"/>
        <w:bottom w:val="none" w:sz="0" w:space="0" w:color="auto"/>
        <w:right w:val="none" w:sz="0" w:space="0" w:color="auto"/>
      </w:divBdr>
    </w:div>
    <w:div w:id="1647397734">
      <w:bodyDiv w:val="1"/>
      <w:marLeft w:val="0"/>
      <w:marRight w:val="0"/>
      <w:marTop w:val="0"/>
      <w:marBottom w:val="0"/>
      <w:divBdr>
        <w:top w:val="none" w:sz="0" w:space="0" w:color="auto"/>
        <w:left w:val="none" w:sz="0" w:space="0" w:color="auto"/>
        <w:bottom w:val="none" w:sz="0" w:space="0" w:color="auto"/>
        <w:right w:val="none" w:sz="0" w:space="0" w:color="auto"/>
      </w:divBdr>
    </w:div>
    <w:div w:id="1659766417">
      <w:bodyDiv w:val="1"/>
      <w:marLeft w:val="0"/>
      <w:marRight w:val="0"/>
      <w:marTop w:val="0"/>
      <w:marBottom w:val="0"/>
      <w:divBdr>
        <w:top w:val="none" w:sz="0" w:space="0" w:color="auto"/>
        <w:left w:val="none" w:sz="0" w:space="0" w:color="auto"/>
        <w:bottom w:val="none" w:sz="0" w:space="0" w:color="auto"/>
        <w:right w:val="none" w:sz="0" w:space="0" w:color="auto"/>
      </w:divBdr>
    </w:div>
    <w:div w:id="1711569022">
      <w:bodyDiv w:val="1"/>
      <w:marLeft w:val="0"/>
      <w:marRight w:val="0"/>
      <w:marTop w:val="0"/>
      <w:marBottom w:val="0"/>
      <w:divBdr>
        <w:top w:val="none" w:sz="0" w:space="0" w:color="auto"/>
        <w:left w:val="none" w:sz="0" w:space="0" w:color="auto"/>
        <w:bottom w:val="none" w:sz="0" w:space="0" w:color="auto"/>
        <w:right w:val="none" w:sz="0" w:space="0" w:color="auto"/>
      </w:divBdr>
    </w:div>
    <w:div w:id="1744790237">
      <w:bodyDiv w:val="1"/>
      <w:marLeft w:val="0"/>
      <w:marRight w:val="0"/>
      <w:marTop w:val="0"/>
      <w:marBottom w:val="0"/>
      <w:divBdr>
        <w:top w:val="none" w:sz="0" w:space="0" w:color="auto"/>
        <w:left w:val="none" w:sz="0" w:space="0" w:color="auto"/>
        <w:bottom w:val="none" w:sz="0" w:space="0" w:color="auto"/>
        <w:right w:val="none" w:sz="0" w:space="0" w:color="auto"/>
      </w:divBdr>
    </w:div>
    <w:div w:id="1756509934">
      <w:bodyDiv w:val="1"/>
      <w:marLeft w:val="0"/>
      <w:marRight w:val="0"/>
      <w:marTop w:val="0"/>
      <w:marBottom w:val="0"/>
      <w:divBdr>
        <w:top w:val="none" w:sz="0" w:space="0" w:color="auto"/>
        <w:left w:val="none" w:sz="0" w:space="0" w:color="auto"/>
        <w:bottom w:val="none" w:sz="0" w:space="0" w:color="auto"/>
        <w:right w:val="none" w:sz="0" w:space="0" w:color="auto"/>
      </w:divBdr>
    </w:div>
    <w:div w:id="1788965546">
      <w:bodyDiv w:val="1"/>
      <w:marLeft w:val="0"/>
      <w:marRight w:val="0"/>
      <w:marTop w:val="0"/>
      <w:marBottom w:val="0"/>
      <w:divBdr>
        <w:top w:val="none" w:sz="0" w:space="0" w:color="auto"/>
        <w:left w:val="none" w:sz="0" w:space="0" w:color="auto"/>
        <w:bottom w:val="none" w:sz="0" w:space="0" w:color="auto"/>
        <w:right w:val="none" w:sz="0" w:space="0" w:color="auto"/>
      </w:divBdr>
    </w:div>
    <w:div w:id="1794593548">
      <w:bodyDiv w:val="1"/>
      <w:marLeft w:val="0"/>
      <w:marRight w:val="0"/>
      <w:marTop w:val="0"/>
      <w:marBottom w:val="0"/>
      <w:divBdr>
        <w:top w:val="none" w:sz="0" w:space="0" w:color="auto"/>
        <w:left w:val="none" w:sz="0" w:space="0" w:color="auto"/>
        <w:bottom w:val="none" w:sz="0" w:space="0" w:color="auto"/>
        <w:right w:val="none" w:sz="0" w:space="0" w:color="auto"/>
      </w:divBdr>
    </w:div>
    <w:div w:id="1864781165">
      <w:bodyDiv w:val="1"/>
      <w:marLeft w:val="0"/>
      <w:marRight w:val="0"/>
      <w:marTop w:val="0"/>
      <w:marBottom w:val="0"/>
      <w:divBdr>
        <w:top w:val="none" w:sz="0" w:space="0" w:color="auto"/>
        <w:left w:val="none" w:sz="0" w:space="0" w:color="auto"/>
        <w:bottom w:val="none" w:sz="0" w:space="0" w:color="auto"/>
        <w:right w:val="none" w:sz="0" w:space="0" w:color="auto"/>
      </w:divBdr>
    </w:div>
    <w:div w:id="1889682659">
      <w:bodyDiv w:val="1"/>
      <w:marLeft w:val="0"/>
      <w:marRight w:val="0"/>
      <w:marTop w:val="0"/>
      <w:marBottom w:val="0"/>
      <w:divBdr>
        <w:top w:val="none" w:sz="0" w:space="0" w:color="auto"/>
        <w:left w:val="none" w:sz="0" w:space="0" w:color="auto"/>
        <w:bottom w:val="none" w:sz="0" w:space="0" w:color="auto"/>
        <w:right w:val="none" w:sz="0" w:space="0" w:color="auto"/>
      </w:divBdr>
    </w:div>
    <w:div w:id="1917127369">
      <w:bodyDiv w:val="1"/>
      <w:marLeft w:val="0"/>
      <w:marRight w:val="0"/>
      <w:marTop w:val="0"/>
      <w:marBottom w:val="0"/>
      <w:divBdr>
        <w:top w:val="none" w:sz="0" w:space="0" w:color="auto"/>
        <w:left w:val="none" w:sz="0" w:space="0" w:color="auto"/>
        <w:bottom w:val="none" w:sz="0" w:space="0" w:color="auto"/>
        <w:right w:val="none" w:sz="0" w:space="0" w:color="auto"/>
      </w:divBdr>
      <w:divsChild>
        <w:div w:id="1607153611">
          <w:marLeft w:val="0"/>
          <w:marRight w:val="0"/>
          <w:marTop w:val="0"/>
          <w:marBottom w:val="0"/>
          <w:divBdr>
            <w:top w:val="none" w:sz="0" w:space="0" w:color="auto"/>
            <w:left w:val="none" w:sz="0" w:space="0" w:color="auto"/>
            <w:bottom w:val="none" w:sz="0" w:space="0" w:color="auto"/>
            <w:right w:val="none" w:sz="0" w:space="0" w:color="auto"/>
          </w:divBdr>
          <w:divsChild>
            <w:div w:id="893852229">
              <w:marLeft w:val="0"/>
              <w:marRight w:val="0"/>
              <w:marTop w:val="0"/>
              <w:marBottom w:val="0"/>
              <w:divBdr>
                <w:top w:val="none" w:sz="0" w:space="0" w:color="auto"/>
                <w:left w:val="none" w:sz="0" w:space="0" w:color="auto"/>
                <w:bottom w:val="none" w:sz="0" w:space="0" w:color="auto"/>
                <w:right w:val="none" w:sz="0" w:space="0" w:color="auto"/>
              </w:divBdr>
              <w:divsChild>
                <w:div w:id="589511999">
                  <w:marLeft w:val="0"/>
                  <w:marRight w:val="0"/>
                  <w:marTop w:val="0"/>
                  <w:marBottom w:val="0"/>
                  <w:divBdr>
                    <w:top w:val="none" w:sz="0" w:space="0" w:color="auto"/>
                    <w:left w:val="none" w:sz="0" w:space="0" w:color="auto"/>
                    <w:bottom w:val="none" w:sz="0" w:space="0" w:color="auto"/>
                    <w:right w:val="none" w:sz="0" w:space="0" w:color="auto"/>
                  </w:divBdr>
                  <w:divsChild>
                    <w:div w:id="115833712">
                      <w:marLeft w:val="0"/>
                      <w:marRight w:val="0"/>
                      <w:marTop w:val="0"/>
                      <w:marBottom w:val="0"/>
                      <w:divBdr>
                        <w:top w:val="none" w:sz="0" w:space="0" w:color="auto"/>
                        <w:left w:val="none" w:sz="0" w:space="0" w:color="auto"/>
                        <w:bottom w:val="none" w:sz="0" w:space="0" w:color="auto"/>
                        <w:right w:val="none" w:sz="0" w:space="0" w:color="auto"/>
                      </w:divBdr>
                      <w:divsChild>
                        <w:div w:id="940913708">
                          <w:marLeft w:val="0"/>
                          <w:marRight w:val="0"/>
                          <w:marTop w:val="0"/>
                          <w:marBottom w:val="0"/>
                          <w:divBdr>
                            <w:top w:val="none" w:sz="0" w:space="0" w:color="auto"/>
                            <w:left w:val="none" w:sz="0" w:space="0" w:color="auto"/>
                            <w:bottom w:val="none" w:sz="0" w:space="0" w:color="auto"/>
                            <w:right w:val="none" w:sz="0" w:space="0" w:color="auto"/>
                          </w:divBdr>
                          <w:divsChild>
                            <w:div w:id="1897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501930">
      <w:bodyDiv w:val="1"/>
      <w:marLeft w:val="0"/>
      <w:marRight w:val="0"/>
      <w:marTop w:val="0"/>
      <w:marBottom w:val="0"/>
      <w:divBdr>
        <w:top w:val="none" w:sz="0" w:space="0" w:color="auto"/>
        <w:left w:val="none" w:sz="0" w:space="0" w:color="auto"/>
        <w:bottom w:val="none" w:sz="0" w:space="0" w:color="auto"/>
        <w:right w:val="none" w:sz="0" w:space="0" w:color="auto"/>
      </w:divBdr>
    </w:div>
    <w:div w:id="2097168673">
      <w:bodyDiv w:val="1"/>
      <w:marLeft w:val="0"/>
      <w:marRight w:val="0"/>
      <w:marTop w:val="0"/>
      <w:marBottom w:val="0"/>
      <w:divBdr>
        <w:top w:val="none" w:sz="0" w:space="0" w:color="auto"/>
        <w:left w:val="none" w:sz="0" w:space="0" w:color="auto"/>
        <w:bottom w:val="none" w:sz="0" w:space="0" w:color="auto"/>
        <w:right w:val="none" w:sz="0" w:space="0" w:color="auto"/>
      </w:divBdr>
    </w:div>
    <w:div w:id="2112387104">
      <w:bodyDiv w:val="1"/>
      <w:marLeft w:val="0"/>
      <w:marRight w:val="0"/>
      <w:marTop w:val="0"/>
      <w:marBottom w:val="0"/>
      <w:divBdr>
        <w:top w:val="none" w:sz="0" w:space="0" w:color="auto"/>
        <w:left w:val="none" w:sz="0" w:space="0" w:color="auto"/>
        <w:bottom w:val="none" w:sz="0" w:space="0" w:color="auto"/>
        <w:right w:val="none" w:sz="0" w:space="0" w:color="auto"/>
      </w:divBdr>
    </w:div>
    <w:div w:id="213065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382F1-02A1-47ED-97FB-4309BAEB8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F100DD-9713-4479-A8D5-B93BD154DB22}">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018A5E6B-112F-44A8-BDEE-22F2AAC4FE87}">
  <ds:schemaRefs>
    <ds:schemaRef ds:uri="http://schemas.microsoft.com/sharepoint/v3/contenttype/forms"/>
  </ds:schemaRefs>
</ds:datastoreItem>
</file>

<file path=customXml/itemProps4.xml><?xml version="1.0" encoding="utf-8"?>
<ds:datastoreItem xmlns:ds="http://schemas.openxmlformats.org/officeDocument/2006/customXml" ds:itemID="{1A929C98-847D-4334-8D91-01C26B3F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3239</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Đorđe Perišić</dc:creator>
  <cp:keywords/>
  <dc:description/>
  <cp:lastModifiedBy>Milan Popović</cp:lastModifiedBy>
  <cp:revision>2</cp:revision>
  <dcterms:created xsi:type="dcterms:W3CDTF">2025-11-05T09:47:00Z</dcterms:created>
  <dcterms:modified xsi:type="dcterms:W3CDTF">2025-11-05T09:47:00Z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4936e819,5f8591e,15f083cb</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2025-10-15T13:21:22Z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3324d682-aad0-46ce-ad25-6bc222cf935a</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