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33BF6" w14:textId="7B31CE15" w:rsidR="00477D0B" w:rsidRPr="00AC62C2" w:rsidRDefault="00AC62C2" w:rsidP="00AC62C2">
      <w:pPr>
        <w:rPr>
          <w:lang w:val="sr-Latn-RS"/>
        </w:rPr>
      </w:pPr>
      <w:r w:rsidRPr="00AC62C2">
        <w:rPr>
          <w:lang w:val="sr-Latn-RS"/>
        </w:rPr>
        <w:t xml:space="preserve">27.04.2023. </w:t>
      </w:r>
      <w:proofErr w:type="spellStart"/>
      <w:r w:rsidRPr="00AC62C2">
        <w:rPr>
          <w:lang w:val="sr-Latn-RS"/>
        </w:rPr>
        <w:t>године</w:t>
      </w:r>
      <w:proofErr w:type="spellEnd"/>
    </w:p>
    <w:p w14:paraId="40BC063F" w14:textId="77777777" w:rsidR="00AC62C2" w:rsidRPr="00AC62C2" w:rsidRDefault="00AC62C2" w:rsidP="00AC62C2">
      <w:pPr>
        <w:rPr>
          <w:b/>
          <w:lang w:val="sr-Cyrl-RS"/>
        </w:rPr>
      </w:pPr>
    </w:p>
    <w:p w14:paraId="736C0432" w14:textId="2827F3B8" w:rsidR="00477D0B" w:rsidRDefault="00477D0B" w:rsidP="00EC7D9F">
      <w:pPr>
        <w:jc w:val="center"/>
        <w:rPr>
          <w:b/>
          <w:lang w:val="sr-Cyrl-RS"/>
        </w:rPr>
      </w:pPr>
      <w:r>
        <w:rPr>
          <w:b/>
          <w:lang w:val="sr-Cyrl-RS"/>
        </w:rPr>
        <w:t>И З В Е Ш Т А Ј</w:t>
      </w:r>
    </w:p>
    <w:p w14:paraId="560B44F2" w14:textId="7CCB4940" w:rsidR="00FF0A15" w:rsidRPr="00EC7D9F" w:rsidRDefault="00477D0B" w:rsidP="00EC7D9F">
      <w:pPr>
        <w:jc w:val="center"/>
        <w:rPr>
          <w:b/>
          <w:lang w:val="sr-Cyrl-RS"/>
        </w:rPr>
      </w:pPr>
      <w:r>
        <w:rPr>
          <w:b/>
          <w:lang w:val="sr-Cyrl-RS"/>
        </w:rPr>
        <w:t xml:space="preserve">о спроведеном консултативном процесу </w:t>
      </w:r>
      <w:r w:rsidR="00EC7D9F" w:rsidRPr="00EC7D9F">
        <w:rPr>
          <w:b/>
          <w:lang w:val="sr-Cyrl-RS"/>
        </w:rPr>
        <w:t>у изради Предлога уредбе о поступку припреме Нацрта плана развоја Републике Србије</w:t>
      </w:r>
    </w:p>
    <w:p w14:paraId="0960EB9B" w14:textId="30E8A074" w:rsidR="00EC7D9F" w:rsidRDefault="00EC7D9F" w:rsidP="00FF0A15">
      <w:pPr>
        <w:rPr>
          <w:lang w:val="sr-Cyrl-RS"/>
        </w:rPr>
      </w:pPr>
    </w:p>
    <w:p w14:paraId="676044E6" w14:textId="07B06D30" w:rsidR="00477D0B" w:rsidRPr="003F5E39" w:rsidRDefault="00477D0B" w:rsidP="00175166">
      <w:pPr>
        <w:jc w:val="both"/>
      </w:pPr>
      <w:r>
        <w:rPr>
          <w:lang w:val="sr-Cyrl-RS"/>
        </w:rPr>
        <w:tab/>
        <w:t xml:space="preserve">Републички секретаријат за јавне политике је образовао Радну групу за израду </w:t>
      </w:r>
      <w:r w:rsidRPr="00477D0B">
        <w:rPr>
          <w:lang w:val="sr-Cyrl-RS"/>
        </w:rPr>
        <w:t>Предлога уредбе о поступку припреме Нацрта плана развоја Републике Србије</w:t>
      </w:r>
      <w:r>
        <w:rPr>
          <w:lang w:val="sr-Cyrl-RS"/>
        </w:rPr>
        <w:t xml:space="preserve">, која је сачинила радну верзију Предлога уредбе </w:t>
      </w:r>
      <w:r w:rsidRPr="00477D0B">
        <w:rPr>
          <w:lang w:val="sr-Cyrl-RS"/>
        </w:rPr>
        <w:t>о поступку припреме Нацрта плана развоја Републике Србије</w:t>
      </w:r>
      <w:r>
        <w:rPr>
          <w:lang w:val="sr-Cyrl-RS"/>
        </w:rPr>
        <w:t xml:space="preserve"> (у даљем тексту: радна верзија Предлога уредбе).</w:t>
      </w:r>
      <w:r w:rsidR="003F5E39">
        <w:t xml:space="preserve"> </w:t>
      </w:r>
    </w:p>
    <w:p w14:paraId="7EF2AD9F" w14:textId="0D712650" w:rsidR="00477D0B" w:rsidRDefault="00477D0B" w:rsidP="00175166">
      <w:pPr>
        <w:jc w:val="both"/>
        <w:rPr>
          <w:lang w:val="sr-Cyrl-RS"/>
        </w:rPr>
      </w:pPr>
      <w:r>
        <w:rPr>
          <w:lang w:val="sr-Cyrl-RS"/>
        </w:rPr>
        <w:tab/>
        <w:t>Радна верзија Предлога уредбе је објављена на Порталу е-Консултације, дана 31. марта 2023. године, када је започео консултативни процес за достављање сугестија и коментара свих заинтересованих страна и јавности.</w:t>
      </w:r>
    </w:p>
    <w:p w14:paraId="4C5DC88A" w14:textId="3DFBEB59" w:rsidR="00477D0B" w:rsidRDefault="00477D0B" w:rsidP="003F5E39">
      <w:pPr>
        <w:rPr>
          <w:u w:val="single"/>
          <w:lang w:val="sr-Cyrl-RS"/>
        </w:rPr>
      </w:pPr>
      <w:r>
        <w:rPr>
          <w:lang w:val="sr-Cyrl-RS"/>
        </w:rPr>
        <w:tab/>
        <w:t>У оквиру консул</w:t>
      </w:r>
      <w:r w:rsidR="003F5E39">
        <w:rPr>
          <w:lang w:val="sr-Cyrl-RS"/>
        </w:rPr>
        <w:t xml:space="preserve">тативног процеса одржана су </w:t>
      </w:r>
      <w:proofErr w:type="spellStart"/>
      <w:r w:rsidR="003F5E39">
        <w:rPr>
          <w:lang w:val="sr-Cyrl-RS"/>
        </w:rPr>
        <w:t>двe</w:t>
      </w:r>
      <w:proofErr w:type="spellEnd"/>
      <w:r w:rsidR="003F5E39">
        <w:rPr>
          <w:lang w:val="sr-Cyrl-RS"/>
        </w:rPr>
        <w:t xml:space="preserve"> панел дискусије са </w:t>
      </w:r>
      <w:r>
        <w:rPr>
          <w:lang w:val="sr-Cyrl-RS"/>
        </w:rPr>
        <w:t>представницима организације цивилног друштва</w:t>
      </w:r>
      <w:r w:rsidR="003F5E39">
        <w:rPr>
          <w:lang w:val="sr-Cyrl-RS"/>
        </w:rPr>
        <w:t xml:space="preserve"> у организацији ГИЗ</w:t>
      </w:r>
      <w:r w:rsidR="00175166">
        <w:t>-a</w:t>
      </w:r>
      <w:bookmarkStart w:id="0" w:name="_GoBack"/>
      <w:bookmarkEnd w:id="0"/>
      <w:r w:rsidR="003F5E39">
        <w:rPr>
          <w:lang w:val="sr-Cyrl-RS"/>
        </w:rPr>
        <w:t xml:space="preserve"> у оквиру Платформе „Одрживи развоја за </w:t>
      </w:r>
      <w:proofErr w:type="spellStart"/>
      <w:r w:rsidR="003F5E39">
        <w:rPr>
          <w:lang w:val="sr-Cyrl-RS"/>
        </w:rPr>
        <w:t>све</w:t>
      </w:r>
      <w:r w:rsidR="003F5E39">
        <w:rPr>
          <w:rFonts w:cs="Times New Roman"/>
          <w:lang w:val="sr-Cyrl-RS"/>
        </w:rPr>
        <w:t>ˮ</w:t>
      </w:r>
      <w:proofErr w:type="spellEnd"/>
      <w:r w:rsidR="003F5E39">
        <w:rPr>
          <w:lang w:val="sr-Cyrl-RS"/>
        </w:rPr>
        <w:t xml:space="preserve"> и Националног конвента о ЕУ.</w:t>
      </w:r>
    </w:p>
    <w:p w14:paraId="3B2752D5" w14:textId="72686695" w:rsidR="003F5E39" w:rsidRDefault="003F5E39" w:rsidP="003F5E39">
      <w:pPr>
        <w:ind w:firstLine="720"/>
        <w:jc w:val="both"/>
        <w:rPr>
          <w:rFonts w:cs="Times New Roman"/>
          <w:szCs w:val="24"/>
          <w:lang w:val="sr-Cyrl-RS"/>
        </w:rPr>
      </w:pPr>
      <w:r>
        <w:rPr>
          <w:rFonts w:cs="Times New Roman"/>
          <w:szCs w:val="24"/>
          <w:lang w:val="sr-Cyrl-RS"/>
        </w:rPr>
        <w:t xml:space="preserve">Сугестије које су изнете током дискусије су се односиле на унапређење текста радне верзије </w:t>
      </w:r>
      <w:r w:rsidRPr="002C5844">
        <w:rPr>
          <w:rFonts w:cs="Times New Roman"/>
          <w:szCs w:val="24"/>
          <w:lang w:val="sr-Cyrl-RS"/>
        </w:rPr>
        <w:t xml:space="preserve">Предлога уредбе, као и на </w:t>
      </w:r>
      <w:r w:rsidR="002C5844" w:rsidRPr="002C5844">
        <w:rPr>
          <w:rFonts w:cs="Times New Roman"/>
          <w:szCs w:val="24"/>
          <w:lang w:val="sr-Cyrl-RS"/>
        </w:rPr>
        <w:t xml:space="preserve">садржај и </w:t>
      </w:r>
      <w:r w:rsidRPr="002C5844">
        <w:rPr>
          <w:rFonts w:cs="Times New Roman"/>
          <w:szCs w:val="24"/>
          <w:lang w:val="sr-Cyrl-RS"/>
        </w:rPr>
        <w:t xml:space="preserve">само спровођење процеса израде Плана развоја, </w:t>
      </w:r>
      <w:r w:rsidR="00296965" w:rsidRPr="002C5844">
        <w:rPr>
          <w:rFonts w:cs="Times New Roman"/>
          <w:szCs w:val="24"/>
          <w:lang w:val="sr-Cyrl-RS"/>
        </w:rPr>
        <w:t xml:space="preserve">након што </w:t>
      </w:r>
      <w:r w:rsidRPr="002C5844">
        <w:rPr>
          <w:rFonts w:cs="Times New Roman"/>
          <w:szCs w:val="24"/>
          <w:lang w:val="sr-Cyrl-RS"/>
        </w:rPr>
        <w:t>буде започет.</w:t>
      </w:r>
    </w:p>
    <w:p w14:paraId="308CE122" w14:textId="116EDE12" w:rsidR="003F5E39" w:rsidRDefault="00BB7545" w:rsidP="00AC62C2">
      <w:pPr>
        <w:ind w:firstLine="720"/>
        <w:jc w:val="both"/>
        <w:rPr>
          <w:rFonts w:cs="Times New Roman"/>
          <w:szCs w:val="24"/>
          <w:lang w:val="sr-Cyrl-RS"/>
        </w:rPr>
      </w:pPr>
      <w:r>
        <w:rPr>
          <w:rFonts w:cs="Times New Roman"/>
          <w:szCs w:val="24"/>
          <w:lang w:val="sr-Cyrl-RS"/>
        </w:rPr>
        <w:t>На текст уредб</w:t>
      </w:r>
      <w:r w:rsidR="003F5E39">
        <w:rPr>
          <w:rFonts w:cs="Times New Roman"/>
          <w:szCs w:val="24"/>
          <w:lang w:val="sr-Cyrl-RS"/>
        </w:rPr>
        <w:t xml:space="preserve">е изнета су сугестије </w:t>
      </w:r>
      <w:r>
        <w:rPr>
          <w:rFonts w:cs="Times New Roman"/>
          <w:szCs w:val="24"/>
          <w:lang w:val="sr-Cyrl-RS"/>
        </w:rPr>
        <w:t>које су се односиле на</w:t>
      </w:r>
      <w:r w:rsidR="00106578">
        <w:rPr>
          <w:rFonts w:cs="Times New Roman"/>
          <w:szCs w:val="24"/>
          <w:lang w:val="sr-Cyrl-RS"/>
        </w:rPr>
        <w:t xml:space="preserve"> почетне ана</w:t>
      </w:r>
      <w:r>
        <w:rPr>
          <w:rFonts w:cs="Times New Roman"/>
          <w:szCs w:val="24"/>
          <w:lang w:val="sr-Cyrl-RS"/>
        </w:rPr>
        <w:t>лизе, чланство у организационог структури за израду Нацрта плана развоја и начин избора чланова, прецизирање фаза и рокова у изради Нацрта плана развоја, консултативни процес у смислу одређивања рокова, детаљније уређивање процеса и укључивање заинтересованих страна и др.</w:t>
      </w:r>
    </w:p>
    <w:p w14:paraId="26071B69" w14:textId="7F0596A9" w:rsidR="00EE41DD" w:rsidRDefault="000560AE" w:rsidP="00AC62C2">
      <w:pPr>
        <w:ind w:firstLine="720"/>
        <w:jc w:val="both"/>
        <w:rPr>
          <w:rFonts w:cs="Times New Roman"/>
          <w:szCs w:val="24"/>
          <w:lang w:val="sr-Cyrl-RS"/>
        </w:rPr>
      </w:pPr>
      <w:r>
        <w:rPr>
          <w:rFonts w:cs="Times New Roman"/>
          <w:szCs w:val="24"/>
          <w:lang w:val="sr-Cyrl-RS"/>
        </w:rPr>
        <w:t xml:space="preserve">Одређени број сугестија који се односио на </w:t>
      </w:r>
      <w:r w:rsidR="00EE41DD">
        <w:rPr>
          <w:rFonts w:cs="Times New Roman"/>
          <w:szCs w:val="24"/>
          <w:lang w:val="sr-Cyrl-RS"/>
        </w:rPr>
        <w:t xml:space="preserve">сам поступак припреме </w:t>
      </w:r>
      <w:r w:rsidR="00BB7545">
        <w:rPr>
          <w:rFonts w:cs="Times New Roman"/>
          <w:szCs w:val="24"/>
          <w:lang w:val="sr-Cyrl-RS"/>
        </w:rPr>
        <w:t xml:space="preserve">Плана развоја, </w:t>
      </w:r>
      <w:r>
        <w:rPr>
          <w:rFonts w:cs="Times New Roman"/>
          <w:szCs w:val="24"/>
          <w:lang w:val="sr-Cyrl-RS"/>
        </w:rPr>
        <w:t>као што је конкретизовање појединих група заинтересованих страна, укључивање Народне скупштине, одређивање дужих рокова за консултативни процес и јавну расправу, упоредна припрема Инвестиционог плана</w:t>
      </w:r>
      <w:r w:rsidR="002C5844">
        <w:rPr>
          <w:rFonts w:cs="Times New Roman"/>
          <w:szCs w:val="24"/>
          <w:lang w:val="sr-Latn-RS"/>
        </w:rPr>
        <w:t xml:space="preserve"> и </w:t>
      </w:r>
      <w:proofErr w:type="spellStart"/>
      <w:r w:rsidR="002C5844">
        <w:rPr>
          <w:rFonts w:cs="Times New Roman"/>
          <w:szCs w:val="24"/>
          <w:lang w:val="sr-Latn-RS"/>
        </w:rPr>
        <w:t>др</w:t>
      </w:r>
      <w:proofErr w:type="spellEnd"/>
      <w:r w:rsidR="002C5844">
        <w:rPr>
          <w:rFonts w:cs="Times New Roman"/>
          <w:szCs w:val="24"/>
          <w:lang w:val="sr-Latn-RS"/>
        </w:rPr>
        <w:t xml:space="preserve">. </w:t>
      </w:r>
      <w:r>
        <w:rPr>
          <w:rFonts w:cs="Times New Roman"/>
          <w:szCs w:val="24"/>
          <w:lang w:val="sr-Cyrl-RS"/>
        </w:rPr>
        <w:t>С</w:t>
      </w:r>
      <w:r w:rsidR="00EE41DD">
        <w:rPr>
          <w:rFonts w:cs="Times New Roman"/>
          <w:szCs w:val="24"/>
          <w:lang w:val="sr-Cyrl-RS"/>
        </w:rPr>
        <w:t xml:space="preserve">ве те сугестије </w:t>
      </w:r>
      <w:r>
        <w:rPr>
          <w:rFonts w:cs="Times New Roman"/>
          <w:szCs w:val="24"/>
          <w:lang w:val="sr-Cyrl-RS"/>
        </w:rPr>
        <w:t>треба</w:t>
      </w:r>
      <w:r w:rsidR="00EE41DD">
        <w:rPr>
          <w:rFonts w:cs="Times New Roman"/>
          <w:szCs w:val="24"/>
          <w:lang w:val="sr-Cyrl-RS"/>
        </w:rPr>
        <w:t xml:space="preserve"> узети у обзир након започињања израде Плана развоја, односно након формирања организационе структуре, </w:t>
      </w:r>
      <w:r w:rsidR="00AC1FC4">
        <w:rPr>
          <w:rFonts w:cs="Times New Roman"/>
          <w:szCs w:val="24"/>
          <w:lang w:val="sr-Cyrl-RS"/>
        </w:rPr>
        <w:t xml:space="preserve">која ће усвојити прецизан план израде документа, како евентуалне измене не би водиле ка </w:t>
      </w:r>
      <w:proofErr w:type="spellStart"/>
      <w:r w:rsidR="00AC1FC4">
        <w:rPr>
          <w:rFonts w:cs="Times New Roman"/>
          <w:szCs w:val="24"/>
          <w:lang w:val="sr-Cyrl-RS"/>
        </w:rPr>
        <w:t>пренормирању</w:t>
      </w:r>
      <w:proofErr w:type="spellEnd"/>
      <w:r w:rsidR="00AC1FC4">
        <w:rPr>
          <w:rFonts w:cs="Times New Roman"/>
          <w:szCs w:val="24"/>
          <w:lang w:val="sr-Cyrl-RS"/>
        </w:rPr>
        <w:t xml:space="preserve"> процеса и како би се обезбедио довољно флексибилности за прилагођавање новонасталим околностима током самог процеса, како за први циклус израде П</w:t>
      </w:r>
      <w:r>
        <w:rPr>
          <w:rFonts w:cs="Times New Roman"/>
          <w:szCs w:val="24"/>
          <w:lang w:val="sr-Cyrl-RS"/>
        </w:rPr>
        <w:t>лана развоја, т</w:t>
      </w:r>
      <w:r w:rsidR="00AC1FC4">
        <w:rPr>
          <w:rFonts w:cs="Times New Roman"/>
          <w:szCs w:val="24"/>
          <w:lang w:val="sr-Cyrl-RS"/>
        </w:rPr>
        <w:t>а</w:t>
      </w:r>
      <w:r>
        <w:rPr>
          <w:rFonts w:cs="Times New Roman"/>
          <w:szCs w:val="24"/>
          <w:lang w:val="sr-Cyrl-RS"/>
        </w:rPr>
        <w:t>к</w:t>
      </w:r>
      <w:r w:rsidR="00AC1FC4">
        <w:rPr>
          <w:rFonts w:cs="Times New Roman"/>
          <w:szCs w:val="24"/>
          <w:lang w:val="sr-Cyrl-RS"/>
        </w:rPr>
        <w:t xml:space="preserve">о и за будуће циклусе. </w:t>
      </w:r>
    </w:p>
    <w:p w14:paraId="7669914D" w14:textId="77777777" w:rsidR="003F5E39" w:rsidRDefault="003F5E39" w:rsidP="003F5E39">
      <w:pPr>
        <w:ind w:firstLine="360"/>
        <w:jc w:val="both"/>
        <w:rPr>
          <w:rFonts w:cs="Times New Roman"/>
          <w:szCs w:val="24"/>
          <w:lang w:val="sr-Cyrl-RS"/>
        </w:rPr>
      </w:pPr>
    </w:p>
    <w:p w14:paraId="48FD65FD" w14:textId="77777777" w:rsidR="003F5E39" w:rsidRDefault="003F5E39" w:rsidP="003F5E39">
      <w:pPr>
        <w:ind w:firstLine="360"/>
        <w:jc w:val="both"/>
        <w:rPr>
          <w:rFonts w:cs="Times New Roman"/>
          <w:szCs w:val="24"/>
          <w:lang w:val="sr-Cyrl-RS"/>
        </w:rPr>
      </w:pPr>
    </w:p>
    <w:p w14:paraId="3C3E6D7B" w14:textId="77777777" w:rsidR="003F5E39" w:rsidRDefault="003F5E39" w:rsidP="003F5E39">
      <w:pPr>
        <w:ind w:firstLine="360"/>
        <w:jc w:val="both"/>
        <w:rPr>
          <w:rFonts w:cs="Times New Roman"/>
          <w:szCs w:val="24"/>
          <w:lang w:val="sr-Cyrl-RS"/>
        </w:rPr>
      </w:pPr>
    </w:p>
    <w:p w14:paraId="663B5E2A" w14:textId="4429E96B" w:rsidR="00FF0A15" w:rsidRPr="00EC7D9F" w:rsidRDefault="00EC7D9F" w:rsidP="00EC7D9F">
      <w:pPr>
        <w:jc w:val="center"/>
        <w:rPr>
          <w:u w:val="single"/>
          <w:lang w:val="sr-Cyrl-RS"/>
        </w:rPr>
      </w:pPr>
      <w:r w:rsidRPr="00EC7D9F">
        <w:rPr>
          <w:u w:val="single"/>
          <w:lang w:val="sr-Cyrl-RS"/>
        </w:rPr>
        <w:t>Преглед достављених сугестија и коментара на радну верзију Предлога уредбе о поступку припреме Нацрта плана развоја Р</w:t>
      </w:r>
      <w:r w:rsidR="00477D0B">
        <w:rPr>
          <w:u w:val="single"/>
          <w:lang w:val="sr-Cyrl-RS"/>
        </w:rPr>
        <w:t xml:space="preserve">епублике Србије, </w:t>
      </w:r>
      <w:proofErr w:type="spellStart"/>
      <w:r w:rsidR="00477D0B">
        <w:rPr>
          <w:u w:val="single"/>
          <w:lang w:val="sr-Cyrl-RS"/>
        </w:rPr>
        <w:t>приспелих</w:t>
      </w:r>
      <w:proofErr w:type="spellEnd"/>
      <w:r w:rsidR="00477D0B">
        <w:rPr>
          <w:u w:val="single"/>
          <w:lang w:val="sr-Cyrl-RS"/>
        </w:rPr>
        <w:t xml:space="preserve"> до 26</w:t>
      </w:r>
      <w:r w:rsidRPr="00EC7D9F">
        <w:rPr>
          <w:u w:val="single"/>
          <w:lang w:val="sr-Cyrl-RS"/>
        </w:rPr>
        <w:t>.04.2024. године</w:t>
      </w:r>
    </w:p>
    <w:p w14:paraId="0E986EB1" w14:textId="77777777" w:rsidR="00FF0A15" w:rsidRPr="00FB56B6" w:rsidRDefault="00FF0A15" w:rsidP="00FF0A15">
      <w:pPr>
        <w:rPr>
          <w:lang w:val="ru-RU"/>
        </w:rPr>
      </w:pPr>
    </w:p>
    <w:p w14:paraId="53EF3AF8" w14:textId="619569EB" w:rsidR="001E5FD0" w:rsidRDefault="001E5FD0" w:rsidP="00FF0A15">
      <w:pPr>
        <w:rPr>
          <w:lang w:val="sr-Cyrl-RS"/>
        </w:rPr>
      </w:pPr>
      <w:r>
        <w:rPr>
          <w:lang w:val="sr-Cyrl-RS"/>
        </w:rPr>
        <w:t>У консултативном процесу су учествовале следеће организације цивилног друштва:</w:t>
      </w:r>
    </w:p>
    <w:p w14:paraId="4CBCDB7A" w14:textId="77777777" w:rsidR="001E5FD0" w:rsidRDefault="001E5FD0" w:rsidP="001E5FD0">
      <w:pPr>
        <w:pStyle w:val="ListParagraph"/>
        <w:numPr>
          <w:ilvl w:val="0"/>
          <w:numId w:val="40"/>
        </w:numPr>
        <w:rPr>
          <w:lang w:val="sr-Cyrl-RS"/>
        </w:rPr>
      </w:pPr>
      <w:r>
        <w:rPr>
          <w:lang w:val="sr-Cyrl-RS"/>
        </w:rPr>
        <w:t>Београдска отворена школа – БОШ;</w:t>
      </w:r>
    </w:p>
    <w:p w14:paraId="043CBBBA"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 xml:space="preserve">Фондација Центар за демократију; </w:t>
      </w:r>
    </w:p>
    <w:p w14:paraId="28FA9155"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Центар за високе економске студије – ЦЕВЕС;</w:t>
      </w:r>
    </w:p>
    <w:p w14:paraId="2FA63DA6"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Центар за екологију и одрживи развој – ЦЕКОР;</w:t>
      </w:r>
    </w:p>
    <w:p w14:paraId="1797E5FE" w14:textId="77777777" w:rsidR="001E5FD0" w:rsidRPr="00B64E06" w:rsidRDefault="001E5FD0" w:rsidP="001E5FD0">
      <w:pPr>
        <w:pStyle w:val="ListParagraph"/>
        <w:numPr>
          <w:ilvl w:val="0"/>
          <w:numId w:val="40"/>
        </w:numPr>
        <w:rPr>
          <w:color w:val="000000" w:themeColor="text1"/>
          <w:lang w:val="sr-Cyrl-RS"/>
        </w:rPr>
      </w:pPr>
      <w:r w:rsidRPr="00B64E06">
        <w:rPr>
          <w:bCs/>
          <w:color w:val="000000" w:themeColor="text1"/>
          <w:lang w:val="sr-Cyrl-RS"/>
        </w:rPr>
        <w:t xml:space="preserve">Институт за територијални економски развој – </w:t>
      </w:r>
      <w:proofErr w:type="spellStart"/>
      <w:r w:rsidRPr="00B64E06">
        <w:rPr>
          <w:bCs/>
          <w:color w:val="000000" w:themeColor="text1"/>
          <w:lang w:val="sr-Cyrl-RS"/>
        </w:rPr>
        <w:t>ИнТЕР</w:t>
      </w:r>
      <w:proofErr w:type="spellEnd"/>
      <w:r w:rsidRPr="00B64E06">
        <w:rPr>
          <w:bCs/>
          <w:color w:val="000000" w:themeColor="text1"/>
          <w:lang w:val="sr-Cyrl-RS"/>
        </w:rPr>
        <w:t>;</w:t>
      </w:r>
    </w:p>
    <w:p w14:paraId="395F0F33"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 xml:space="preserve">Центар за европске политике </w:t>
      </w:r>
      <w:r>
        <w:rPr>
          <w:color w:val="000000" w:themeColor="text1"/>
          <w:lang w:val="sr-Cyrl-RS"/>
        </w:rPr>
        <w:t>–</w:t>
      </w:r>
      <w:r w:rsidRPr="00B64E06">
        <w:rPr>
          <w:color w:val="000000" w:themeColor="text1"/>
          <w:lang w:val="sr-Cyrl-RS"/>
        </w:rPr>
        <w:t xml:space="preserve"> ЦЕП</w:t>
      </w:r>
      <w:r>
        <w:rPr>
          <w:color w:val="000000" w:themeColor="text1"/>
          <w:lang w:val="sr-Cyrl-RS"/>
        </w:rPr>
        <w:t>;</w:t>
      </w:r>
    </w:p>
    <w:p w14:paraId="0ED6EDC6"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 xml:space="preserve">Европски покрет у Србији – </w:t>
      </w:r>
      <w:proofErr w:type="spellStart"/>
      <w:r w:rsidRPr="00B64E06">
        <w:rPr>
          <w:color w:val="000000" w:themeColor="text1"/>
          <w:lang w:val="sr-Cyrl-RS"/>
        </w:rPr>
        <w:t>ЕПуС</w:t>
      </w:r>
      <w:proofErr w:type="spellEnd"/>
      <w:r>
        <w:rPr>
          <w:color w:val="000000" w:themeColor="text1"/>
          <w:lang w:val="sr-Cyrl-RS"/>
        </w:rPr>
        <w:t>;</w:t>
      </w:r>
    </w:p>
    <w:p w14:paraId="666C7B07" w14:textId="77777777" w:rsidR="001E5FD0" w:rsidRPr="00B64E06" w:rsidRDefault="001E5FD0" w:rsidP="001E5FD0">
      <w:pPr>
        <w:pStyle w:val="ListParagraph"/>
        <w:numPr>
          <w:ilvl w:val="0"/>
          <w:numId w:val="40"/>
        </w:numPr>
        <w:rPr>
          <w:color w:val="000000" w:themeColor="text1"/>
          <w:lang w:val="sr-Cyrl-RS"/>
        </w:rPr>
      </w:pPr>
      <w:r w:rsidRPr="00B64E06">
        <w:rPr>
          <w:color w:val="000000" w:themeColor="text1"/>
          <w:lang w:val="sr-Cyrl-RS"/>
        </w:rPr>
        <w:t xml:space="preserve">Комитет правника за људска права </w:t>
      </w:r>
      <w:r>
        <w:rPr>
          <w:color w:val="000000" w:themeColor="text1"/>
          <w:lang w:val="sr-Cyrl-RS"/>
        </w:rPr>
        <w:t>–</w:t>
      </w:r>
      <w:r w:rsidRPr="00B64E06">
        <w:rPr>
          <w:color w:val="000000" w:themeColor="text1"/>
          <w:lang w:val="sr-Cyrl-RS"/>
        </w:rPr>
        <w:t xml:space="preserve"> ЈУКОМ</w:t>
      </w:r>
      <w:r>
        <w:rPr>
          <w:color w:val="000000" w:themeColor="text1"/>
          <w:lang w:val="sr-Cyrl-RS"/>
        </w:rPr>
        <w:t>;</w:t>
      </w:r>
    </w:p>
    <w:p w14:paraId="6AB89AED" w14:textId="77777777" w:rsidR="001E5FD0" w:rsidRPr="00B64E06" w:rsidRDefault="001E5FD0" w:rsidP="001E5FD0">
      <w:pPr>
        <w:pStyle w:val="ListParagraph"/>
        <w:numPr>
          <w:ilvl w:val="0"/>
          <w:numId w:val="40"/>
        </w:numPr>
        <w:rPr>
          <w:color w:val="000000" w:themeColor="text1"/>
          <w:lang w:val="sr-Cyrl-RS"/>
        </w:rPr>
      </w:pPr>
      <w:r w:rsidRPr="00B64E06">
        <w:rPr>
          <w:bCs/>
          <w:color w:val="000000" w:themeColor="text1"/>
          <w:lang w:val="sr-Cyrl-RS"/>
        </w:rPr>
        <w:t xml:space="preserve">Центар за одрживи развој Србије </w:t>
      </w:r>
      <w:r>
        <w:rPr>
          <w:bCs/>
          <w:color w:val="000000" w:themeColor="text1"/>
          <w:lang w:val="sr-Cyrl-RS"/>
        </w:rPr>
        <w:t>–</w:t>
      </w:r>
      <w:r w:rsidRPr="00B64E06">
        <w:rPr>
          <w:bCs/>
          <w:color w:val="000000" w:themeColor="text1"/>
          <w:lang w:val="sr-Cyrl-RS"/>
        </w:rPr>
        <w:t xml:space="preserve"> ЦОРС</w:t>
      </w:r>
      <w:r>
        <w:rPr>
          <w:bCs/>
          <w:color w:val="000000" w:themeColor="text1"/>
          <w:lang w:val="sr-Cyrl-RS"/>
        </w:rPr>
        <w:t>;</w:t>
      </w:r>
    </w:p>
    <w:p w14:paraId="4112A6E2" w14:textId="77777777" w:rsidR="001E5FD0" w:rsidRDefault="001E5FD0" w:rsidP="001E5FD0">
      <w:pPr>
        <w:pStyle w:val="ListParagraph"/>
        <w:numPr>
          <w:ilvl w:val="0"/>
          <w:numId w:val="40"/>
        </w:numPr>
        <w:rPr>
          <w:color w:val="000000" w:themeColor="text1"/>
          <w:lang w:val="sr-Cyrl-RS"/>
        </w:rPr>
      </w:pPr>
      <w:r>
        <w:rPr>
          <w:color w:val="000000" w:themeColor="text1"/>
          <w:lang w:val="sr-Cyrl-RS"/>
        </w:rPr>
        <w:t>Тимочки омладински центар/ТОЦ;</w:t>
      </w:r>
    </w:p>
    <w:p w14:paraId="3B53D624" w14:textId="77777777" w:rsidR="001E5FD0" w:rsidRDefault="001E5FD0" w:rsidP="001E5FD0">
      <w:pPr>
        <w:pStyle w:val="ListParagraph"/>
        <w:numPr>
          <w:ilvl w:val="0"/>
          <w:numId w:val="40"/>
        </w:numPr>
        <w:rPr>
          <w:color w:val="000000" w:themeColor="text1"/>
          <w:lang w:val="sr-Cyrl-RS"/>
        </w:rPr>
      </w:pPr>
      <w:r>
        <w:rPr>
          <w:color w:val="000000" w:themeColor="text1"/>
          <w:lang w:val="sr-Cyrl-RS"/>
        </w:rPr>
        <w:t>Фондација Ана и Владе Дивац;</w:t>
      </w:r>
    </w:p>
    <w:p w14:paraId="471C58B4" w14:textId="7F7F9CC5" w:rsidR="001E5FD0" w:rsidRPr="00A83C07" w:rsidRDefault="001E5FD0" w:rsidP="001E5FD0">
      <w:pPr>
        <w:pStyle w:val="ListParagraph"/>
        <w:numPr>
          <w:ilvl w:val="0"/>
          <w:numId w:val="40"/>
        </w:numPr>
        <w:rPr>
          <w:color w:val="000000" w:themeColor="text1"/>
          <w:lang w:val="sr-Cyrl-RS"/>
        </w:rPr>
      </w:pPr>
      <w:r w:rsidRPr="00B64E06">
        <w:rPr>
          <w:color w:val="000000" w:themeColor="text1"/>
          <w:lang w:val="sr-Cyrl-RS"/>
        </w:rPr>
        <w:t xml:space="preserve"> </w:t>
      </w:r>
      <w:r>
        <w:rPr>
          <w:color w:val="000000" w:themeColor="text1"/>
          <w:lang w:val="sr-Cyrl-RS"/>
        </w:rPr>
        <w:t>Фондација БФПЕ за отворено друштво</w:t>
      </w:r>
      <w:r w:rsidR="00A83C07">
        <w:rPr>
          <w:color w:val="000000" w:themeColor="text1"/>
          <w:lang w:val="sr-Latn-RS"/>
        </w:rPr>
        <w:t>;</w:t>
      </w:r>
    </w:p>
    <w:p w14:paraId="5DAE3D4E" w14:textId="5C8FB603" w:rsidR="00A83C07" w:rsidRDefault="00A83C07" w:rsidP="001E5FD0">
      <w:pPr>
        <w:pStyle w:val="ListParagraph"/>
        <w:numPr>
          <w:ilvl w:val="0"/>
          <w:numId w:val="40"/>
        </w:numPr>
        <w:rPr>
          <w:color w:val="000000" w:themeColor="text1"/>
          <w:lang w:val="sr-Cyrl-RS"/>
        </w:rPr>
      </w:pPr>
      <w:proofErr w:type="spellStart"/>
      <w:r>
        <w:rPr>
          <w:color w:val="000000" w:themeColor="text1"/>
          <w:lang w:val="sr-Cyrl-RS"/>
        </w:rPr>
        <w:t>Смарт</w:t>
      </w:r>
      <w:proofErr w:type="spellEnd"/>
      <w:r>
        <w:rPr>
          <w:color w:val="000000" w:themeColor="text1"/>
          <w:lang w:val="sr-Cyrl-RS"/>
        </w:rPr>
        <w:t xml:space="preserve"> Колектив;</w:t>
      </w:r>
    </w:p>
    <w:p w14:paraId="25DA98A8" w14:textId="0C74EBBD" w:rsidR="001E5FD0" w:rsidRDefault="001E5FD0" w:rsidP="001E5FD0">
      <w:pPr>
        <w:pStyle w:val="ListParagraph"/>
        <w:numPr>
          <w:ilvl w:val="0"/>
          <w:numId w:val="40"/>
        </w:numPr>
        <w:rPr>
          <w:color w:val="000000" w:themeColor="text1"/>
          <w:lang w:val="sr-Cyrl-RS"/>
        </w:rPr>
      </w:pPr>
      <w:r>
        <w:rPr>
          <w:color w:val="000000" w:themeColor="text1"/>
          <w:lang w:val="sr-Cyrl-RS"/>
        </w:rPr>
        <w:t xml:space="preserve">Платформа „Одрживи развоја за </w:t>
      </w:r>
      <w:proofErr w:type="spellStart"/>
      <w:r>
        <w:rPr>
          <w:color w:val="000000" w:themeColor="text1"/>
          <w:lang w:val="sr-Cyrl-RS"/>
        </w:rPr>
        <w:t>све</w:t>
      </w:r>
      <w:r>
        <w:rPr>
          <w:rFonts w:cs="Times New Roman"/>
          <w:color w:val="000000" w:themeColor="text1"/>
          <w:lang w:val="sr-Cyrl-RS"/>
        </w:rPr>
        <w:t>ˮ</w:t>
      </w:r>
      <w:proofErr w:type="spellEnd"/>
      <w:r>
        <w:rPr>
          <w:color w:val="000000" w:themeColor="text1"/>
          <w:lang w:val="sr-Cyrl-RS"/>
        </w:rPr>
        <w:t>;</w:t>
      </w:r>
    </w:p>
    <w:p w14:paraId="7C845E3D" w14:textId="5216FD8D" w:rsidR="001E5FD0" w:rsidRPr="001E5FD0" w:rsidRDefault="001E5FD0" w:rsidP="001E5FD0">
      <w:pPr>
        <w:pStyle w:val="ListParagraph"/>
        <w:numPr>
          <w:ilvl w:val="0"/>
          <w:numId w:val="40"/>
        </w:numPr>
        <w:rPr>
          <w:color w:val="000000" w:themeColor="text1"/>
          <w:lang w:val="sr-Cyrl-RS"/>
        </w:rPr>
      </w:pPr>
      <w:r w:rsidRPr="00B64E06">
        <w:rPr>
          <w:color w:val="000000" w:themeColor="text1"/>
          <w:lang w:val="sr-Cyrl-RS"/>
        </w:rPr>
        <w:t>Национални конвент о Е</w:t>
      </w:r>
      <w:r>
        <w:rPr>
          <w:color w:val="000000" w:themeColor="text1"/>
          <w:lang w:val="sr-Cyrl-RS"/>
        </w:rPr>
        <w:t>вропској унији.</w:t>
      </w:r>
    </w:p>
    <w:p w14:paraId="08DB3254" w14:textId="0C675477" w:rsidR="00FF0A15" w:rsidRDefault="00EC7D9F" w:rsidP="00FF0A15">
      <w:pPr>
        <w:rPr>
          <w:lang w:val="sr-Cyrl-RS"/>
        </w:rPr>
      </w:pPr>
      <w:r>
        <w:rPr>
          <w:lang w:val="sr-Cyrl-RS"/>
        </w:rPr>
        <w:t>Организације цивилног друштва које су упутиле сугестије и коментаре:</w:t>
      </w:r>
    </w:p>
    <w:p w14:paraId="5C267291" w14:textId="2E41FA31" w:rsidR="00EC7D9F" w:rsidRPr="001E5FD0" w:rsidRDefault="00EC7D9F" w:rsidP="001E5FD0">
      <w:pPr>
        <w:pStyle w:val="ListParagraph"/>
        <w:numPr>
          <w:ilvl w:val="0"/>
          <w:numId w:val="45"/>
        </w:numPr>
        <w:ind w:left="720"/>
        <w:rPr>
          <w:lang w:val="sr-Cyrl-RS"/>
        </w:rPr>
      </w:pPr>
      <w:r w:rsidRPr="001E5FD0">
        <w:rPr>
          <w:lang w:val="sr-Cyrl-RS"/>
        </w:rPr>
        <w:t>Београдска отворена школа</w:t>
      </w:r>
      <w:r w:rsidR="00B64E06" w:rsidRPr="001E5FD0">
        <w:rPr>
          <w:lang w:val="sr-Cyrl-RS"/>
        </w:rPr>
        <w:t xml:space="preserve"> – </w:t>
      </w:r>
      <w:r w:rsidR="003E16C3" w:rsidRPr="001E5FD0">
        <w:rPr>
          <w:lang w:val="sr-Cyrl-RS"/>
        </w:rPr>
        <w:t>БОШ</w:t>
      </w:r>
      <w:r w:rsidR="00B64E06" w:rsidRPr="001E5FD0">
        <w:rPr>
          <w:lang w:val="sr-Cyrl-RS"/>
        </w:rPr>
        <w:t>;</w:t>
      </w:r>
    </w:p>
    <w:p w14:paraId="4A060B67" w14:textId="3427F75A" w:rsidR="00EC7D9F" w:rsidRPr="001E5FD0" w:rsidRDefault="003E16C3" w:rsidP="001E5FD0">
      <w:pPr>
        <w:pStyle w:val="ListParagraph"/>
        <w:numPr>
          <w:ilvl w:val="0"/>
          <w:numId w:val="45"/>
        </w:numPr>
        <w:ind w:left="720"/>
        <w:rPr>
          <w:color w:val="000000" w:themeColor="text1"/>
          <w:lang w:val="sr-Cyrl-RS"/>
        </w:rPr>
      </w:pPr>
      <w:r w:rsidRPr="001E5FD0">
        <w:rPr>
          <w:color w:val="000000" w:themeColor="text1"/>
          <w:lang w:val="sr-Cyrl-RS"/>
        </w:rPr>
        <w:t xml:space="preserve">Фондација </w:t>
      </w:r>
      <w:r w:rsidR="00EC7D9F" w:rsidRPr="001E5FD0">
        <w:rPr>
          <w:color w:val="000000" w:themeColor="text1"/>
          <w:lang w:val="sr-Cyrl-RS"/>
        </w:rPr>
        <w:t>Центар за демократију</w:t>
      </w:r>
      <w:r w:rsidR="00B64E06" w:rsidRPr="001E5FD0">
        <w:rPr>
          <w:color w:val="000000" w:themeColor="text1"/>
          <w:lang w:val="sr-Cyrl-RS"/>
        </w:rPr>
        <w:t>;</w:t>
      </w:r>
      <w:r w:rsidR="00EC7D9F" w:rsidRPr="001E5FD0">
        <w:rPr>
          <w:color w:val="000000" w:themeColor="text1"/>
          <w:lang w:val="sr-Cyrl-RS"/>
        </w:rPr>
        <w:t xml:space="preserve"> </w:t>
      </w:r>
    </w:p>
    <w:p w14:paraId="64F04961" w14:textId="31160CA0" w:rsidR="00EC7D9F" w:rsidRPr="001E5FD0" w:rsidRDefault="00E577A9" w:rsidP="001E5FD0">
      <w:pPr>
        <w:pStyle w:val="ListParagraph"/>
        <w:numPr>
          <w:ilvl w:val="0"/>
          <w:numId w:val="45"/>
        </w:numPr>
        <w:ind w:left="720"/>
        <w:rPr>
          <w:color w:val="000000" w:themeColor="text1"/>
          <w:lang w:val="sr-Cyrl-RS"/>
        </w:rPr>
      </w:pPr>
      <w:r w:rsidRPr="001E5FD0">
        <w:rPr>
          <w:color w:val="000000" w:themeColor="text1"/>
          <w:lang w:val="sr-Cyrl-RS"/>
        </w:rPr>
        <w:t xml:space="preserve">Центар за високе економске студије </w:t>
      </w:r>
      <w:r w:rsidR="00B64E06" w:rsidRPr="001E5FD0">
        <w:rPr>
          <w:color w:val="000000" w:themeColor="text1"/>
          <w:lang w:val="sr-Cyrl-RS"/>
        </w:rPr>
        <w:t>–</w:t>
      </w:r>
      <w:r w:rsidRPr="001E5FD0">
        <w:rPr>
          <w:color w:val="000000" w:themeColor="text1"/>
          <w:lang w:val="sr-Cyrl-RS"/>
        </w:rPr>
        <w:t xml:space="preserve"> </w:t>
      </w:r>
      <w:r w:rsidR="00EC7D9F" w:rsidRPr="001E5FD0">
        <w:rPr>
          <w:color w:val="000000" w:themeColor="text1"/>
          <w:lang w:val="sr-Cyrl-RS"/>
        </w:rPr>
        <w:t>ЦЕВЕС</w:t>
      </w:r>
      <w:r w:rsidR="00B64E06" w:rsidRPr="001E5FD0">
        <w:rPr>
          <w:color w:val="000000" w:themeColor="text1"/>
          <w:lang w:val="sr-Cyrl-RS"/>
        </w:rPr>
        <w:t>;</w:t>
      </w:r>
    </w:p>
    <w:p w14:paraId="713BFBB5" w14:textId="04E5DA23" w:rsidR="00EC7D9F" w:rsidRPr="001E5FD0" w:rsidRDefault="00B64E06" w:rsidP="001E5FD0">
      <w:pPr>
        <w:pStyle w:val="ListParagraph"/>
        <w:numPr>
          <w:ilvl w:val="0"/>
          <w:numId w:val="45"/>
        </w:numPr>
        <w:ind w:left="720"/>
        <w:rPr>
          <w:color w:val="000000" w:themeColor="text1"/>
          <w:lang w:val="sr-Cyrl-RS"/>
        </w:rPr>
      </w:pPr>
      <w:r w:rsidRPr="001E5FD0">
        <w:rPr>
          <w:color w:val="000000" w:themeColor="text1"/>
          <w:lang w:val="sr-Cyrl-RS"/>
        </w:rPr>
        <w:t xml:space="preserve">Центар за екологију и одрживи развој – </w:t>
      </w:r>
      <w:r w:rsidR="00EC7D9F" w:rsidRPr="001E5FD0">
        <w:rPr>
          <w:color w:val="000000" w:themeColor="text1"/>
          <w:lang w:val="sr-Cyrl-RS"/>
        </w:rPr>
        <w:t>ЦЕКОР</w:t>
      </w:r>
      <w:r w:rsidRPr="001E5FD0">
        <w:rPr>
          <w:color w:val="000000" w:themeColor="text1"/>
          <w:lang w:val="sr-Cyrl-RS"/>
        </w:rPr>
        <w:t>;</w:t>
      </w:r>
    </w:p>
    <w:p w14:paraId="6C821572" w14:textId="00EE25D8" w:rsidR="00B64E06" w:rsidRPr="001E5FD0" w:rsidRDefault="00B64E06" w:rsidP="001E5FD0">
      <w:pPr>
        <w:pStyle w:val="ListParagraph"/>
        <w:numPr>
          <w:ilvl w:val="0"/>
          <w:numId w:val="45"/>
        </w:numPr>
        <w:ind w:left="720"/>
        <w:rPr>
          <w:color w:val="000000" w:themeColor="text1"/>
          <w:lang w:val="sr-Cyrl-RS"/>
        </w:rPr>
      </w:pPr>
      <w:r w:rsidRPr="001E5FD0">
        <w:rPr>
          <w:bCs/>
          <w:color w:val="000000" w:themeColor="text1"/>
          <w:lang w:val="sr-Cyrl-RS"/>
        </w:rPr>
        <w:t xml:space="preserve">Институт за територијални економски развој – </w:t>
      </w:r>
      <w:proofErr w:type="spellStart"/>
      <w:r w:rsidRPr="001E5FD0">
        <w:rPr>
          <w:bCs/>
          <w:color w:val="000000" w:themeColor="text1"/>
          <w:lang w:val="sr-Cyrl-RS"/>
        </w:rPr>
        <w:t>ИнТЕР</w:t>
      </w:r>
      <w:proofErr w:type="spellEnd"/>
      <w:r w:rsidRPr="001E5FD0">
        <w:rPr>
          <w:bCs/>
          <w:color w:val="000000" w:themeColor="text1"/>
          <w:lang w:val="sr-Cyrl-RS"/>
        </w:rPr>
        <w:t>;</w:t>
      </w:r>
    </w:p>
    <w:p w14:paraId="5F30E7EE" w14:textId="211CEE2D" w:rsidR="00EC7D9F" w:rsidRPr="001E5FD0" w:rsidRDefault="00EC7D9F" w:rsidP="001E5FD0">
      <w:pPr>
        <w:pStyle w:val="ListParagraph"/>
        <w:numPr>
          <w:ilvl w:val="0"/>
          <w:numId w:val="45"/>
        </w:numPr>
        <w:ind w:left="720"/>
        <w:rPr>
          <w:color w:val="000000" w:themeColor="text1"/>
          <w:lang w:val="sr-Cyrl-RS"/>
        </w:rPr>
      </w:pPr>
      <w:r w:rsidRPr="001E5FD0">
        <w:rPr>
          <w:color w:val="000000" w:themeColor="text1"/>
          <w:lang w:val="sr-Cyrl-RS"/>
        </w:rPr>
        <w:t>Центар за европске политике</w:t>
      </w:r>
      <w:r w:rsidR="00B64E06" w:rsidRPr="001E5FD0">
        <w:rPr>
          <w:color w:val="000000" w:themeColor="text1"/>
          <w:lang w:val="sr-Cyrl-RS"/>
        </w:rPr>
        <w:t xml:space="preserve"> – </w:t>
      </w:r>
      <w:r w:rsidR="0051163D" w:rsidRPr="001E5FD0">
        <w:rPr>
          <w:color w:val="000000" w:themeColor="text1"/>
          <w:lang w:val="sr-Cyrl-RS"/>
        </w:rPr>
        <w:t>ЦЕП</w:t>
      </w:r>
      <w:r w:rsidR="00B64E06" w:rsidRPr="001E5FD0">
        <w:rPr>
          <w:color w:val="000000" w:themeColor="text1"/>
          <w:lang w:val="sr-Cyrl-RS"/>
        </w:rPr>
        <w:t>;</w:t>
      </w:r>
    </w:p>
    <w:p w14:paraId="723E791D" w14:textId="6DEA0A10" w:rsidR="00EC7D9F" w:rsidRPr="001E5FD0" w:rsidRDefault="00B64E06" w:rsidP="001E5FD0">
      <w:pPr>
        <w:pStyle w:val="ListParagraph"/>
        <w:numPr>
          <w:ilvl w:val="0"/>
          <w:numId w:val="45"/>
        </w:numPr>
        <w:ind w:left="720"/>
        <w:rPr>
          <w:color w:val="000000" w:themeColor="text1"/>
          <w:lang w:val="sr-Cyrl-RS"/>
        </w:rPr>
      </w:pPr>
      <w:r w:rsidRPr="001E5FD0">
        <w:rPr>
          <w:color w:val="000000" w:themeColor="text1"/>
          <w:lang w:val="sr-Cyrl-RS"/>
        </w:rPr>
        <w:t xml:space="preserve">Европски покрет у Србији – </w:t>
      </w:r>
      <w:proofErr w:type="spellStart"/>
      <w:r w:rsidRPr="001E5FD0">
        <w:rPr>
          <w:color w:val="000000" w:themeColor="text1"/>
          <w:lang w:val="sr-Cyrl-RS"/>
        </w:rPr>
        <w:t>ЕПуС</w:t>
      </w:r>
      <w:proofErr w:type="spellEnd"/>
      <w:r w:rsidRPr="001E5FD0">
        <w:rPr>
          <w:color w:val="000000" w:themeColor="text1"/>
          <w:lang w:val="sr-Cyrl-RS"/>
        </w:rPr>
        <w:t>;</w:t>
      </w:r>
    </w:p>
    <w:p w14:paraId="61B93DB3" w14:textId="1302A742" w:rsidR="00EC7D9F" w:rsidRPr="001E5FD0" w:rsidRDefault="00B64E06" w:rsidP="001E5FD0">
      <w:pPr>
        <w:pStyle w:val="ListParagraph"/>
        <w:numPr>
          <w:ilvl w:val="0"/>
          <w:numId w:val="45"/>
        </w:numPr>
        <w:ind w:left="720"/>
        <w:rPr>
          <w:color w:val="000000" w:themeColor="text1"/>
          <w:lang w:val="sr-Cyrl-RS"/>
        </w:rPr>
      </w:pPr>
      <w:r w:rsidRPr="001E5FD0">
        <w:rPr>
          <w:color w:val="000000" w:themeColor="text1"/>
          <w:lang w:val="sr-Cyrl-RS"/>
        </w:rPr>
        <w:t>Комитет правника за људска права – ЈУКОМ;</w:t>
      </w:r>
    </w:p>
    <w:p w14:paraId="1A80F916" w14:textId="10467F50" w:rsidR="00EC7D9F" w:rsidRPr="00A83C07" w:rsidRDefault="00B64E06" w:rsidP="001E5FD0">
      <w:pPr>
        <w:pStyle w:val="ListParagraph"/>
        <w:numPr>
          <w:ilvl w:val="0"/>
          <w:numId w:val="45"/>
        </w:numPr>
        <w:ind w:left="720"/>
        <w:rPr>
          <w:color w:val="000000" w:themeColor="text1"/>
          <w:lang w:val="sr-Cyrl-RS"/>
        </w:rPr>
      </w:pPr>
      <w:r w:rsidRPr="001E5FD0">
        <w:rPr>
          <w:bCs/>
          <w:color w:val="000000" w:themeColor="text1"/>
          <w:lang w:val="sr-Cyrl-RS"/>
        </w:rPr>
        <w:t>Центар за одрживи развој Србије – ЦОРС;</w:t>
      </w:r>
    </w:p>
    <w:p w14:paraId="7B8EDAF4" w14:textId="6E7F113D" w:rsidR="00A83C07" w:rsidRPr="001E5FD0" w:rsidRDefault="00A83C07" w:rsidP="001E5FD0">
      <w:pPr>
        <w:pStyle w:val="ListParagraph"/>
        <w:numPr>
          <w:ilvl w:val="0"/>
          <w:numId w:val="45"/>
        </w:numPr>
        <w:ind w:left="720"/>
        <w:rPr>
          <w:color w:val="000000" w:themeColor="text1"/>
          <w:lang w:val="sr-Cyrl-RS"/>
        </w:rPr>
      </w:pPr>
      <w:r>
        <w:rPr>
          <w:color w:val="000000" w:themeColor="text1"/>
          <w:lang w:val="sr-Cyrl-RS"/>
        </w:rPr>
        <w:t xml:space="preserve">Платформа „Одрживи развоја за </w:t>
      </w:r>
      <w:proofErr w:type="spellStart"/>
      <w:r>
        <w:rPr>
          <w:color w:val="000000" w:themeColor="text1"/>
          <w:lang w:val="sr-Cyrl-RS"/>
        </w:rPr>
        <w:t>све</w:t>
      </w:r>
      <w:r>
        <w:rPr>
          <w:rFonts w:cs="Times New Roman"/>
          <w:color w:val="000000" w:themeColor="text1"/>
          <w:lang w:val="sr-Cyrl-RS"/>
        </w:rPr>
        <w:t>ˮ</w:t>
      </w:r>
      <w:proofErr w:type="spellEnd"/>
      <w:r>
        <w:rPr>
          <w:rFonts w:cs="Times New Roman"/>
          <w:color w:val="000000" w:themeColor="text1"/>
          <w:lang w:val="sr-Cyrl-RS"/>
        </w:rPr>
        <w:t>;</w:t>
      </w:r>
    </w:p>
    <w:p w14:paraId="60E07A89" w14:textId="065113E1" w:rsidR="00EC7D9F" w:rsidRPr="001E5FD0" w:rsidRDefault="00B64E06" w:rsidP="001E5FD0">
      <w:pPr>
        <w:pStyle w:val="ListParagraph"/>
        <w:numPr>
          <w:ilvl w:val="0"/>
          <w:numId w:val="45"/>
        </w:numPr>
        <w:ind w:left="720"/>
        <w:rPr>
          <w:color w:val="000000" w:themeColor="text1"/>
          <w:lang w:val="sr-Cyrl-RS"/>
        </w:rPr>
      </w:pPr>
      <w:r w:rsidRPr="001E5FD0">
        <w:rPr>
          <w:color w:val="000000" w:themeColor="text1"/>
          <w:lang w:val="sr-Cyrl-RS"/>
        </w:rPr>
        <w:t>Национални к</w:t>
      </w:r>
      <w:r w:rsidR="00EC7D9F" w:rsidRPr="001E5FD0">
        <w:rPr>
          <w:color w:val="000000" w:themeColor="text1"/>
          <w:lang w:val="sr-Cyrl-RS"/>
        </w:rPr>
        <w:t>онвент о Е</w:t>
      </w:r>
      <w:r w:rsidRPr="001E5FD0">
        <w:rPr>
          <w:color w:val="000000" w:themeColor="text1"/>
          <w:lang w:val="sr-Cyrl-RS"/>
        </w:rPr>
        <w:t>вропској унији.</w:t>
      </w:r>
      <w:r w:rsidR="00EC7D9F" w:rsidRPr="001E5FD0">
        <w:rPr>
          <w:color w:val="000000" w:themeColor="text1"/>
          <w:lang w:val="sr-Cyrl-RS"/>
        </w:rPr>
        <w:t xml:space="preserve"> </w:t>
      </w:r>
    </w:p>
    <w:p w14:paraId="11A7CD7B" w14:textId="6CA1B197" w:rsidR="0015773C" w:rsidRDefault="0015773C" w:rsidP="002A49AD">
      <w:pPr>
        <w:pStyle w:val="ListParagraph"/>
        <w:rPr>
          <w:lang w:val="sr-Cyrl-RS"/>
        </w:rPr>
      </w:pPr>
    </w:p>
    <w:p w14:paraId="1226DD21" w14:textId="0D3EC6FE" w:rsidR="00AC62C2" w:rsidRDefault="00AC62C2" w:rsidP="002A49AD">
      <w:pPr>
        <w:pStyle w:val="ListParagraph"/>
        <w:rPr>
          <w:lang w:val="sr-Cyrl-RS"/>
        </w:rPr>
      </w:pPr>
    </w:p>
    <w:p w14:paraId="3C64B2B9" w14:textId="24A8A67A" w:rsidR="00AC62C2" w:rsidRDefault="00AC62C2" w:rsidP="002A49AD">
      <w:pPr>
        <w:pStyle w:val="ListParagraph"/>
        <w:rPr>
          <w:lang w:val="sr-Cyrl-RS"/>
        </w:rPr>
      </w:pPr>
    </w:p>
    <w:p w14:paraId="75076119" w14:textId="3DC08535" w:rsidR="00AC62C2" w:rsidRDefault="00AC62C2" w:rsidP="002A49AD">
      <w:pPr>
        <w:pStyle w:val="ListParagraph"/>
        <w:rPr>
          <w:lang w:val="sr-Cyrl-RS"/>
        </w:rPr>
      </w:pPr>
    </w:p>
    <w:p w14:paraId="1DC318F3" w14:textId="4EFA921C" w:rsidR="00AC62C2" w:rsidRDefault="00AC62C2" w:rsidP="002A49AD">
      <w:pPr>
        <w:pStyle w:val="ListParagraph"/>
        <w:rPr>
          <w:lang w:val="sr-Cyrl-RS"/>
        </w:rPr>
      </w:pPr>
    </w:p>
    <w:p w14:paraId="7DC40F6A" w14:textId="77777777" w:rsidR="00AC62C2" w:rsidRPr="00EC7D9F" w:rsidRDefault="00AC62C2" w:rsidP="002A49AD">
      <w:pPr>
        <w:pStyle w:val="ListParagraph"/>
        <w:rPr>
          <w:lang w:val="sr-Cyrl-RS"/>
        </w:rPr>
      </w:pPr>
    </w:p>
    <w:tbl>
      <w:tblPr>
        <w:tblStyle w:val="TableGrid"/>
        <w:tblW w:w="0" w:type="auto"/>
        <w:tblLook w:val="04A0" w:firstRow="1" w:lastRow="0" w:firstColumn="1" w:lastColumn="0" w:noHBand="0" w:noVBand="1"/>
      </w:tblPr>
      <w:tblGrid>
        <w:gridCol w:w="1541"/>
        <w:gridCol w:w="1745"/>
        <w:gridCol w:w="3247"/>
        <w:gridCol w:w="3096"/>
      </w:tblGrid>
      <w:tr w:rsidR="00AC62C2" w14:paraId="43E8D319" w14:textId="77777777" w:rsidTr="00E4241D">
        <w:trPr>
          <w:trHeight w:val="633"/>
        </w:trPr>
        <w:tc>
          <w:tcPr>
            <w:tcW w:w="1541" w:type="dxa"/>
            <w:shd w:val="clear" w:color="auto" w:fill="FFF2CC" w:themeFill="accent4" w:themeFillTint="33"/>
          </w:tcPr>
          <w:p w14:paraId="7FE7AB60" w14:textId="77777777" w:rsidR="00AC62C2" w:rsidRPr="004F0192" w:rsidRDefault="00AC62C2" w:rsidP="00E4241D">
            <w:pPr>
              <w:jc w:val="center"/>
              <w:rPr>
                <w:b/>
                <w:lang w:val="sr-Cyrl-RS"/>
              </w:rPr>
            </w:pPr>
            <w:r>
              <w:rPr>
                <w:b/>
                <w:lang w:val="sr-Cyrl-RS"/>
              </w:rPr>
              <w:lastRenderedPageBreak/>
              <w:t>Бр.</w:t>
            </w:r>
          </w:p>
        </w:tc>
        <w:tc>
          <w:tcPr>
            <w:tcW w:w="1745" w:type="dxa"/>
            <w:shd w:val="clear" w:color="auto" w:fill="FFF2CC" w:themeFill="accent4" w:themeFillTint="33"/>
          </w:tcPr>
          <w:p w14:paraId="75A66DEB" w14:textId="77777777" w:rsidR="00AC62C2" w:rsidRDefault="00AC62C2" w:rsidP="00E4241D">
            <w:pPr>
              <w:jc w:val="center"/>
              <w:rPr>
                <w:b/>
                <w:lang w:val="sr-Cyrl-RS"/>
              </w:rPr>
            </w:pPr>
            <w:r>
              <w:rPr>
                <w:b/>
                <w:lang w:val="sr-Cyrl-RS"/>
              </w:rPr>
              <w:t>Назив организације</w:t>
            </w:r>
          </w:p>
        </w:tc>
        <w:tc>
          <w:tcPr>
            <w:tcW w:w="3247" w:type="dxa"/>
            <w:shd w:val="clear" w:color="auto" w:fill="FFF2CC" w:themeFill="accent4" w:themeFillTint="33"/>
          </w:tcPr>
          <w:p w14:paraId="0CD3CDE1" w14:textId="77777777" w:rsidR="00AC62C2" w:rsidRDefault="00AC62C2" w:rsidP="00E4241D">
            <w:pPr>
              <w:jc w:val="center"/>
              <w:rPr>
                <w:b/>
                <w:lang w:val="sr-Cyrl-RS"/>
              </w:rPr>
            </w:pPr>
            <w:r>
              <w:rPr>
                <w:b/>
                <w:lang w:val="sr-Cyrl-RS"/>
              </w:rPr>
              <w:t>Коментар/сугестија</w:t>
            </w:r>
          </w:p>
        </w:tc>
        <w:tc>
          <w:tcPr>
            <w:tcW w:w="3096" w:type="dxa"/>
            <w:shd w:val="clear" w:color="auto" w:fill="FFF2CC" w:themeFill="accent4" w:themeFillTint="33"/>
          </w:tcPr>
          <w:p w14:paraId="348DEDCE" w14:textId="77777777" w:rsidR="00AC62C2" w:rsidRDefault="00AC62C2" w:rsidP="00E4241D">
            <w:pPr>
              <w:jc w:val="center"/>
              <w:rPr>
                <w:b/>
                <w:lang w:val="sr-Cyrl-RS"/>
              </w:rPr>
            </w:pPr>
            <w:r>
              <w:rPr>
                <w:b/>
                <w:lang w:val="sr-Cyrl-RS"/>
              </w:rPr>
              <w:t>Статус</w:t>
            </w:r>
          </w:p>
        </w:tc>
      </w:tr>
      <w:tr w:rsidR="00AC62C2" w:rsidRPr="00E577A9" w14:paraId="65575526" w14:textId="77777777" w:rsidTr="00E4241D">
        <w:tc>
          <w:tcPr>
            <w:tcW w:w="1541" w:type="dxa"/>
          </w:tcPr>
          <w:p w14:paraId="55F74910" w14:textId="77777777" w:rsidR="00AC62C2" w:rsidRPr="00B64E06" w:rsidRDefault="00AC62C2" w:rsidP="00E4241D">
            <w:pPr>
              <w:pStyle w:val="ListParagraph"/>
              <w:numPr>
                <w:ilvl w:val="0"/>
                <w:numId w:val="44"/>
              </w:numPr>
              <w:jc w:val="center"/>
              <w:rPr>
                <w:bCs/>
                <w:lang w:val="sr-Cyrl-RS"/>
              </w:rPr>
            </w:pPr>
          </w:p>
        </w:tc>
        <w:tc>
          <w:tcPr>
            <w:tcW w:w="1745" w:type="dxa"/>
          </w:tcPr>
          <w:p w14:paraId="0ABAC2A2" w14:textId="77777777" w:rsidR="00AC62C2" w:rsidRPr="00E6439E" w:rsidRDefault="00AC62C2" w:rsidP="00E4241D">
            <w:pPr>
              <w:jc w:val="center"/>
              <w:rPr>
                <w:bCs/>
                <w:lang w:val="sr-Latn-RS"/>
              </w:rPr>
            </w:pPr>
            <w:proofErr w:type="spellStart"/>
            <w:r w:rsidRPr="00B64E06">
              <w:rPr>
                <w:bCs/>
                <w:color w:val="000000" w:themeColor="text1"/>
                <w:lang w:val="sr-Cyrl-RS"/>
              </w:rPr>
              <w:t>ИнТЕР</w:t>
            </w:r>
            <w:proofErr w:type="spellEnd"/>
          </w:p>
        </w:tc>
        <w:tc>
          <w:tcPr>
            <w:tcW w:w="3247" w:type="dxa"/>
          </w:tcPr>
          <w:p w14:paraId="39C96FD5" w14:textId="77777777" w:rsidR="00AC62C2" w:rsidRPr="005C5556" w:rsidRDefault="00AC62C2" w:rsidP="00E4241D">
            <w:pPr>
              <w:rPr>
                <w:bCs/>
                <w:lang w:val="sr-Cyrl-RS"/>
              </w:rPr>
            </w:pPr>
            <w:proofErr w:type="spellStart"/>
            <w:r>
              <w:rPr>
                <w:b/>
                <w:lang w:val="sr-Cyrl-RS"/>
              </w:rPr>
              <w:t>Чл</w:t>
            </w:r>
            <w:proofErr w:type="spellEnd"/>
            <w:r>
              <w:rPr>
                <w:b/>
                <w:lang w:val="sr-Cyrl-RS"/>
              </w:rPr>
              <w:t xml:space="preserve"> 1. </w:t>
            </w:r>
            <w:r w:rsidRPr="005C5556">
              <w:rPr>
                <w:bCs/>
                <w:lang w:val="sr-Cyrl-RS"/>
              </w:rPr>
              <w:t xml:space="preserve">да се дефинише </w:t>
            </w:r>
            <w:r>
              <w:rPr>
                <w:bCs/>
                <w:lang w:val="sr-Cyrl-RS"/>
              </w:rPr>
              <w:t>ш</w:t>
            </w:r>
            <w:r w:rsidRPr="005C5556">
              <w:rPr>
                <w:bCs/>
                <w:lang w:val="sr-Cyrl-RS"/>
              </w:rPr>
              <w:t xml:space="preserve">та је то План развоја, није јасно чему служи, да ли ће бити опширан са </w:t>
            </w:r>
            <w:r>
              <w:rPr>
                <w:bCs/>
                <w:lang w:val="sr-Cyrl-RS"/>
              </w:rPr>
              <w:t>секторским приоритетима или документ које одређу</w:t>
            </w:r>
            <w:r w:rsidRPr="005C5556">
              <w:rPr>
                <w:bCs/>
                <w:lang w:val="sr-Cyrl-RS"/>
              </w:rPr>
              <w:t>је стратешки оквир</w:t>
            </w:r>
          </w:p>
        </w:tc>
        <w:tc>
          <w:tcPr>
            <w:tcW w:w="3096" w:type="dxa"/>
          </w:tcPr>
          <w:p w14:paraId="7FD413F2" w14:textId="77777777" w:rsidR="00AC62C2" w:rsidRDefault="00AC62C2" w:rsidP="00E4241D">
            <w:pPr>
              <w:shd w:val="clear" w:color="auto" w:fill="FFFFFF"/>
              <w:spacing w:after="150" w:line="240" w:lineRule="auto"/>
              <w:rPr>
                <w:bCs/>
                <w:lang w:val="sr-Cyrl-RS"/>
              </w:rPr>
            </w:pPr>
            <w:r>
              <w:rPr>
                <w:b/>
                <w:lang w:val="sr-Cyrl-RS"/>
              </w:rPr>
              <w:t>Нису унете измене</w:t>
            </w:r>
            <w:r>
              <w:rPr>
                <w:bCs/>
                <w:lang w:val="sr-Cyrl-RS"/>
              </w:rPr>
              <w:t xml:space="preserve"> - Према методолошким правилима за израду прописа, у члану 1. Предлога Уредбе садржан је предмет уредбе, чији је обим јасно дефинисан чланом 6. став 13. и чланом 51. став 1. Закона о планском систему („Службени гласник </w:t>
            </w:r>
            <w:proofErr w:type="spellStart"/>
            <w:r>
              <w:rPr>
                <w:bCs/>
                <w:lang w:val="sr-Cyrl-RS"/>
              </w:rPr>
              <w:t>РС</w:t>
            </w:r>
            <w:r>
              <w:rPr>
                <w:rFonts w:cs="Times New Roman"/>
                <w:bCs/>
                <w:lang w:val="sr-Cyrl-RS"/>
              </w:rPr>
              <w:t>ˮ</w:t>
            </w:r>
            <w:proofErr w:type="spellEnd"/>
            <w:r>
              <w:rPr>
                <w:bCs/>
                <w:lang w:val="sr-Cyrl-RS"/>
              </w:rPr>
              <w:t xml:space="preserve">, бр. 30/18) који чине основ за доношење Предлога уредбе. Како је поменуто, дато овлашћење је прецизно дефинисано и доноси се ради спровођења Закона, те се не може мењати. </w:t>
            </w:r>
          </w:p>
          <w:p w14:paraId="060E1564" w14:textId="77777777" w:rsidR="00AC62C2" w:rsidRPr="00FB56B6" w:rsidRDefault="00AC62C2" w:rsidP="00E4241D">
            <w:pPr>
              <w:shd w:val="clear" w:color="auto" w:fill="FFFFFF"/>
              <w:spacing w:after="150" w:line="240" w:lineRule="auto"/>
              <w:rPr>
                <w:bCs/>
                <w:lang w:val="sr-Cyrl-RS"/>
              </w:rPr>
            </w:pPr>
          </w:p>
        </w:tc>
      </w:tr>
      <w:tr w:rsidR="00AC62C2" w:rsidRPr="00E577A9" w14:paraId="02968DEC" w14:textId="77777777" w:rsidTr="00E4241D">
        <w:tc>
          <w:tcPr>
            <w:tcW w:w="1541" w:type="dxa"/>
          </w:tcPr>
          <w:p w14:paraId="626A7901" w14:textId="77777777" w:rsidR="00AC62C2" w:rsidRPr="0015773C" w:rsidRDefault="00AC62C2" w:rsidP="00E4241D">
            <w:pPr>
              <w:jc w:val="center"/>
              <w:rPr>
                <w:bCs/>
                <w:lang w:val="sr-Cyrl-RS"/>
              </w:rPr>
            </w:pPr>
            <w:r>
              <w:rPr>
                <w:bCs/>
                <w:lang w:val="sr-Cyrl-RS"/>
              </w:rPr>
              <w:t>2.</w:t>
            </w:r>
          </w:p>
        </w:tc>
        <w:tc>
          <w:tcPr>
            <w:tcW w:w="1745" w:type="dxa"/>
          </w:tcPr>
          <w:p w14:paraId="29B11247" w14:textId="77777777" w:rsidR="00AC62C2" w:rsidRPr="005C5556" w:rsidRDefault="00AC62C2" w:rsidP="00E4241D">
            <w:pPr>
              <w:jc w:val="center"/>
              <w:rPr>
                <w:bCs/>
                <w:highlight w:val="yellow"/>
                <w:lang w:val="sr-Cyrl-RS"/>
              </w:rPr>
            </w:pPr>
            <w:proofErr w:type="spellStart"/>
            <w:r w:rsidRPr="00B64E06">
              <w:rPr>
                <w:bCs/>
                <w:color w:val="000000" w:themeColor="text1"/>
                <w:lang w:val="sr-Cyrl-RS"/>
              </w:rPr>
              <w:t>ИнТЕР</w:t>
            </w:r>
            <w:proofErr w:type="spellEnd"/>
          </w:p>
        </w:tc>
        <w:tc>
          <w:tcPr>
            <w:tcW w:w="3247" w:type="dxa"/>
          </w:tcPr>
          <w:p w14:paraId="0916EB63" w14:textId="77777777" w:rsidR="00AC62C2" w:rsidRDefault="00AC62C2" w:rsidP="00E4241D">
            <w:pPr>
              <w:rPr>
                <w:b/>
                <w:lang w:val="sr-Cyrl-RS"/>
              </w:rPr>
            </w:pPr>
            <w:r>
              <w:rPr>
                <w:b/>
                <w:lang w:val="sr-Cyrl-RS"/>
              </w:rPr>
              <w:t xml:space="preserve">Чл. 2. и 4. </w:t>
            </w:r>
            <w:r w:rsidRPr="005C5556">
              <w:rPr>
                <w:bCs/>
                <w:lang w:val="sr-Cyrl-RS"/>
              </w:rPr>
              <w:t>треба предвидети да се израде и анализе спровођења претхо</w:t>
            </w:r>
            <w:r>
              <w:rPr>
                <w:bCs/>
                <w:lang w:val="sr-Cyrl-RS"/>
              </w:rPr>
              <w:t>дн</w:t>
            </w:r>
            <w:r w:rsidRPr="005C5556">
              <w:rPr>
                <w:bCs/>
                <w:lang w:val="sr-Cyrl-RS"/>
              </w:rPr>
              <w:t>их планских докумен</w:t>
            </w:r>
            <w:r>
              <w:rPr>
                <w:bCs/>
                <w:lang w:val="sr-Cyrl-RS"/>
              </w:rPr>
              <w:t>а</w:t>
            </w:r>
            <w:r w:rsidRPr="005C5556">
              <w:rPr>
                <w:bCs/>
                <w:lang w:val="sr-Cyrl-RS"/>
              </w:rPr>
              <w:t>та, како би се сагледало прет</w:t>
            </w:r>
            <w:r>
              <w:rPr>
                <w:bCs/>
                <w:lang w:val="sr-Cyrl-RS"/>
              </w:rPr>
              <w:t>х</w:t>
            </w:r>
            <w:r w:rsidRPr="005C5556">
              <w:rPr>
                <w:bCs/>
                <w:lang w:val="sr-Cyrl-RS"/>
              </w:rPr>
              <w:t>о</w:t>
            </w:r>
            <w:r>
              <w:rPr>
                <w:bCs/>
                <w:lang w:val="sr-Cyrl-RS"/>
              </w:rPr>
              <w:t>д</w:t>
            </w:r>
            <w:r w:rsidRPr="005C5556">
              <w:rPr>
                <w:bCs/>
                <w:lang w:val="sr-Cyrl-RS"/>
              </w:rPr>
              <w:t>но искуство</w:t>
            </w:r>
          </w:p>
        </w:tc>
        <w:tc>
          <w:tcPr>
            <w:tcW w:w="3096" w:type="dxa"/>
          </w:tcPr>
          <w:p w14:paraId="4F50F447" w14:textId="77777777" w:rsidR="00AC62C2" w:rsidRDefault="00AC62C2" w:rsidP="00E4241D">
            <w:pPr>
              <w:rPr>
                <w:bCs/>
                <w:lang w:val="sr-Cyrl-RS"/>
              </w:rPr>
            </w:pPr>
            <w:r>
              <w:rPr>
                <w:b/>
                <w:lang w:val="sr-Cyrl-RS"/>
              </w:rPr>
              <w:t>Нису унете измене</w:t>
            </w:r>
            <w:r>
              <w:rPr>
                <w:bCs/>
                <w:lang w:val="sr-Cyrl-RS"/>
              </w:rPr>
              <w:t xml:space="preserve"> – </w:t>
            </w:r>
          </w:p>
          <w:p w14:paraId="6FB83449" w14:textId="77777777" w:rsidR="00AC62C2" w:rsidRDefault="00AC62C2" w:rsidP="00E4241D">
            <w:pPr>
              <w:rPr>
                <w:bCs/>
                <w:lang w:val="sr-Cyrl-RS"/>
              </w:rPr>
            </w:pPr>
            <w:r>
              <w:rPr>
                <w:bCs/>
                <w:lang w:val="sr-Cyrl-RS"/>
              </w:rPr>
              <w:t xml:space="preserve">Анализе обухваћене Предлогом уредбе обухватају широк опсег области које ће се анализирати и бити основа за израду Извештаја о постојећем стању, па самим тим обухватају и анализу свих докумената значајних за израду Плана развоја, па између осталог, и раније донетих планских докумената. </w:t>
            </w:r>
          </w:p>
          <w:p w14:paraId="08BAD553" w14:textId="77777777" w:rsidR="00AC62C2" w:rsidRPr="00000D1B" w:rsidRDefault="00AC62C2" w:rsidP="00E4241D">
            <w:pPr>
              <w:rPr>
                <w:bCs/>
                <w:lang w:val="sr-Cyrl-RS"/>
              </w:rPr>
            </w:pPr>
          </w:p>
        </w:tc>
      </w:tr>
      <w:tr w:rsidR="00AC62C2" w:rsidRPr="00E577A9" w14:paraId="48914869" w14:textId="77777777" w:rsidTr="00E4241D">
        <w:tc>
          <w:tcPr>
            <w:tcW w:w="1541" w:type="dxa"/>
          </w:tcPr>
          <w:p w14:paraId="64CF561F" w14:textId="77777777" w:rsidR="00AC62C2" w:rsidRPr="0015773C" w:rsidRDefault="00AC62C2" w:rsidP="00E4241D">
            <w:pPr>
              <w:jc w:val="center"/>
              <w:rPr>
                <w:bCs/>
                <w:lang w:val="sr-Cyrl-RS"/>
              </w:rPr>
            </w:pPr>
            <w:r>
              <w:rPr>
                <w:bCs/>
                <w:lang w:val="sr-Cyrl-RS"/>
              </w:rPr>
              <w:t>3.</w:t>
            </w:r>
          </w:p>
        </w:tc>
        <w:tc>
          <w:tcPr>
            <w:tcW w:w="1745" w:type="dxa"/>
          </w:tcPr>
          <w:p w14:paraId="0127D6BC" w14:textId="77777777" w:rsidR="00AC62C2" w:rsidRPr="0015773C" w:rsidRDefault="00AC62C2" w:rsidP="00E4241D">
            <w:pPr>
              <w:jc w:val="center"/>
              <w:rPr>
                <w:bCs/>
                <w:lang w:val="sr-Cyrl-RS"/>
              </w:rPr>
            </w:pPr>
            <w:r>
              <w:rPr>
                <w:bCs/>
                <w:lang w:val="sr-Cyrl-RS"/>
              </w:rPr>
              <w:t>ЦЕП</w:t>
            </w:r>
          </w:p>
        </w:tc>
        <w:tc>
          <w:tcPr>
            <w:tcW w:w="3247" w:type="dxa"/>
          </w:tcPr>
          <w:p w14:paraId="70658AE3" w14:textId="77777777" w:rsidR="00AC62C2" w:rsidRDefault="00AC62C2" w:rsidP="00E4241D">
            <w:pPr>
              <w:jc w:val="both"/>
              <w:rPr>
                <w:b/>
                <w:lang w:val="sr-Cyrl-RS"/>
              </w:rPr>
            </w:pPr>
            <w:r>
              <w:rPr>
                <w:b/>
                <w:lang w:val="sr-Cyrl-RS"/>
              </w:rPr>
              <w:t xml:space="preserve">Чл. 2. ст. 4. тачка 5) и </w:t>
            </w:r>
            <w:proofErr w:type="spellStart"/>
            <w:r>
              <w:rPr>
                <w:b/>
                <w:lang w:val="sr-Cyrl-RS"/>
              </w:rPr>
              <w:t>чл</w:t>
            </w:r>
            <w:proofErr w:type="spellEnd"/>
            <w:r>
              <w:rPr>
                <w:b/>
                <w:lang w:val="sr-Cyrl-RS"/>
              </w:rPr>
              <w:t xml:space="preserve"> 4.</w:t>
            </w:r>
          </w:p>
          <w:p w14:paraId="028E2732" w14:textId="77777777" w:rsidR="00AC62C2" w:rsidRPr="0051163D" w:rsidRDefault="00AC62C2" w:rsidP="00E4241D">
            <w:pPr>
              <w:rPr>
                <w:bCs/>
                <w:lang w:val="sr-Cyrl-RS"/>
              </w:rPr>
            </w:pPr>
            <w:r>
              <w:rPr>
                <w:bCs/>
                <w:lang w:val="sr-Cyrl-RS"/>
              </w:rPr>
              <w:t xml:space="preserve">У оквиру израде анализа стања, предвидети коришћење раније </w:t>
            </w:r>
            <w:r>
              <w:rPr>
                <w:bCs/>
                <w:lang w:val="sr-Cyrl-RS"/>
              </w:rPr>
              <w:lastRenderedPageBreak/>
              <w:t xml:space="preserve">припремљених анализа 2013/2024. године, за потребе израде стратегије регионалног развоја </w:t>
            </w:r>
          </w:p>
        </w:tc>
        <w:tc>
          <w:tcPr>
            <w:tcW w:w="3096" w:type="dxa"/>
          </w:tcPr>
          <w:p w14:paraId="22826A6E" w14:textId="77777777" w:rsidR="00AC62C2" w:rsidRDefault="00AC62C2" w:rsidP="00E4241D">
            <w:pPr>
              <w:rPr>
                <w:bCs/>
                <w:lang w:val="sr-Cyrl-RS"/>
              </w:rPr>
            </w:pPr>
            <w:r>
              <w:rPr>
                <w:b/>
                <w:lang w:val="sr-Cyrl-RS"/>
              </w:rPr>
              <w:lastRenderedPageBreak/>
              <w:t>Нису унете измене</w:t>
            </w:r>
            <w:r>
              <w:rPr>
                <w:bCs/>
                <w:lang w:val="sr-Cyrl-RS"/>
              </w:rPr>
              <w:t xml:space="preserve"> – </w:t>
            </w:r>
          </w:p>
          <w:p w14:paraId="0039B976" w14:textId="77777777" w:rsidR="00AC62C2" w:rsidRDefault="00AC62C2" w:rsidP="00E4241D">
            <w:pPr>
              <w:rPr>
                <w:bCs/>
                <w:lang w:val="sr-Cyrl-RS"/>
              </w:rPr>
            </w:pPr>
            <w:r>
              <w:rPr>
                <w:bCs/>
                <w:lang w:val="sr-Cyrl-RS"/>
              </w:rPr>
              <w:t xml:space="preserve">Анализе обухваћене Предлогом уредбе обухватају широк опсег </w:t>
            </w:r>
            <w:r>
              <w:rPr>
                <w:bCs/>
                <w:lang w:val="sr-Cyrl-RS"/>
              </w:rPr>
              <w:lastRenderedPageBreak/>
              <w:t xml:space="preserve">области које ће се анализирати и бити основа за израду Извештаја о постојећем стању, па самим тим обухватају и анализу свих докумената значајних за израду Плана развоја, па између осталог, као и већ постојећих анализа стања свих поменутих докумената. </w:t>
            </w:r>
          </w:p>
          <w:p w14:paraId="418C9086" w14:textId="77777777" w:rsidR="00AC62C2" w:rsidRPr="00000D1B" w:rsidRDefault="00AC62C2" w:rsidP="00E4241D">
            <w:pPr>
              <w:rPr>
                <w:bCs/>
                <w:lang w:val="sr-Cyrl-RS"/>
              </w:rPr>
            </w:pPr>
          </w:p>
        </w:tc>
      </w:tr>
      <w:tr w:rsidR="00AC62C2" w:rsidRPr="00FB56B6" w14:paraId="334AA0D3" w14:textId="77777777" w:rsidTr="00E4241D">
        <w:tc>
          <w:tcPr>
            <w:tcW w:w="1541" w:type="dxa"/>
          </w:tcPr>
          <w:p w14:paraId="0893C34F" w14:textId="77777777" w:rsidR="00AC62C2" w:rsidRPr="0015773C" w:rsidRDefault="00AC62C2" w:rsidP="00E4241D">
            <w:pPr>
              <w:jc w:val="center"/>
              <w:rPr>
                <w:bCs/>
                <w:lang w:val="sr-Cyrl-RS"/>
              </w:rPr>
            </w:pPr>
            <w:r>
              <w:rPr>
                <w:bCs/>
                <w:lang w:val="sr-Cyrl-RS"/>
              </w:rPr>
              <w:lastRenderedPageBreak/>
              <w:t>4.</w:t>
            </w:r>
          </w:p>
        </w:tc>
        <w:tc>
          <w:tcPr>
            <w:tcW w:w="1745" w:type="dxa"/>
          </w:tcPr>
          <w:p w14:paraId="27B8550A" w14:textId="77777777" w:rsidR="00AC62C2" w:rsidRPr="0015773C" w:rsidRDefault="00AC62C2" w:rsidP="00E4241D">
            <w:pPr>
              <w:tabs>
                <w:tab w:val="left" w:pos="1294"/>
              </w:tabs>
              <w:jc w:val="center"/>
              <w:rPr>
                <w:bCs/>
                <w:lang w:val="sr-Cyrl-RS"/>
              </w:rPr>
            </w:pPr>
            <w:r>
              <w:rPr>
                <w:bCs/>
                <w:lang w:val="sr-Cyrl-RS"/>
              </w:rPr>
              <w:t>ЦЕП</w:t>
            </w:r>
          </w:p>
        </w:tc>
        <w:tc>
          <w:tcPr>
            <w:tcW w:w="3247" w:type="dxa"/>
          </w:tcPr>
          <w:p w14:paraId="65A321F8" w14:textId="77777777" w:rsidR="00AC62C2" w:rsidRDefault="00AC62C2" w:rsidP="00E4241D">
            <w:pPr>
              <w:rPr>
                <w:b/>
                <w:lang w:val="sr-Cyrl-RS"/>
              </w:rPr>
            </w:pPr>
            <w:r>
              <w:rPr>
                <w:b/>
                <w:lang w:val="sr-Cyrl-RS"/>
              </w:rPr>
              <w:t xml:space="preserve">Чл. 3. ст. 4 . и 5. </w:t>
            </w:r>
            <w:r>
              <w:rPr>
                <w:bCs/>
                <w:lang w:val="sr-Cyrl-RS"/>
              </w:rPr>
              <w:t xml:space="preserve">Није предвиђено чланство представника Регионалних развојних агенција, предвидети и њих у организационој структури за израду Плана развоја </w:t>
            </w:r>
          </w:p>
        </w:tc>
        <w:tc>
          <w:tcPr>
            <w:tcW w:w="3096" w:type="dxa"/>
          </w:tcPr>
          <w:p w14:paraId="3E5B0FEB" w14:textId="77777777" w:rsidR="00AC62C2" w:rsidRPr="0018273B" w:rsidRDefault="00AC62C2" w:rsidP="00E4241D">
            <w:pPr>
              <w:rPr>
                <w:b/>
                <w:bCs/>
                <w:lang w:val="sr-Cyrl-RS"/>
              </w:rPr>
            </w:pPr>
            <w:r w:rsidRPr="0018273B">
              <w:rPr>
                <w:b/>
                <w:bCs/>
                <w:lang w:val="sr-Cyrl-RS"/>
              </w:rPr>
              <w:t>Унета измена.</w:t>
            </w:r>
          </w:p>
          <w:p w14:paraId="467E88A1" w14:textId="77777777" w:rsidR="00AC62C2" w:rsidRPr="00430F8A" w:rsidRDefault="00AC62C2" w:rsidP="00E4241D">
            <w:pPr>
              <w:rPr>
                <w:bCs/>
                <w:lang w:val="sr-Cyrl-RS"/>
              </w:rPr>
            </w:pPr>
            <w:r w:rsidRPr="00430F8A">
              <w:rPr>
                <w:bCs/>
                <w:lang w:val="sr-Cyrl-RS"/>
              </w:rPr>
              <w:t xml:space="preserve">Представници регионалних развојних агенција су предвиђени као чланови посебних стручних група. </w:t>
            </w:r>
          </w:p>
          <w:p w14:paraId="7F4C75A8" w14:textId="77777777" w:rsidR="00AC62C2" w:rsidRPr="00D7089A" w:rsidRDefault="00AC62C2" w:rsidP="00E4241D">
            <w:pPr>
              <w:rPr>
                <w:rFonts w:eastAsia="Times New Roman" w:cs="Times New Roman"/>
                <w:color w:val="FF0000"/>
                <w:szCs w:val="24"/>
                <w:lang w:val="ru-RU"/>
              </w:rPr>
            </w:pPr>
          </w:p>
        </w:tc>
      </w:tr>
      <w:tr w:rsidR="00AC62C2" w:rsidRPr="00E577A9" w14:paraId="21587089" w14:textId="77777777" w:rsidTr="00E4241D">
        <w:tc>
          <w:tcPr>
            <w:tcW w:w="1541" w:type="dxa"/>
          </w:tcPr>
          <w:p w14:paraId="51087C9E" w14:textId="77777777" w:rsidR="00AC62C2" w:rsidRPr="0015773C" w:rsidRDefault="00AC62C2" w:rsidP="00E4241D">
            <w:pPr>
              <w:jc w:val="center"/>
              <w:rPr>
                <w:bCs/>
                <w:lang w:val="sr-Cyrl-RS"/>
              </w:rPr>
            </w:pPr>
            <w:r>
              <w:rPr>
                <w:bCs/>
                <w:lang w:val="sr-Cyrl-RS"/>
              </w:rPr>
              <w:t>5.</w:t>
            </w:r>
          </w:p>
        </w:tc>
        <w:tc>
          <w:tcPr>
            <w:tcW w:w="1745" w:type="dxa"/>
          </w:tcPr>
          <w:p w14:paraId="4DA19B8E" w14:textId="77777777" w:rsidR="00AC62C2" w:rsidRPr="003352A2" w:rsidRDefault="00AC62C2" w:rsidP="00E4241D">
            <w:pPr>
              <w:jc w:val="center"/>
              <w:rPr>
                <w:bCs/>
                <w:highlight w:val="yellow"/>
                <w:lang w:val="sr-Cyrl-RS"/>
              </w:rPr>
            </w:pPr>
            <w:r>
              <w:rPr>
                <w:bCs/>
                <w:lang w:val="sr-Cyrl-RS"/>
              </w:rPr>
              <w:t>ЦЕП</w:t>
            </w:r>
            <w:r w:rsidRPr="003352A2">
              <w:rPr>
                <w:bCs/>
                <w:color w:val="000000" w:themeColor="text1"/>
                <w:lang w:val="sr-Cyrl-RS"/>
              </w:rPr>
              <w:t>/ЦОРС</w:t>
            </w:r>
          </w:p>
          <w:p w14:paraId="4BD96E7A" w14:textId="77777777" w:rsidR="00AC62C2" w:rsidRPr="0015773C" w:rsidRDefault="00AC62C2" w:rsidP="00E4241D">
            <w:pPr>
              <w:jc w:val="center"/>
              <w:rPr>
                <w:bCs/>
                <w:lang w:val="sr-Cyrl-RS"/>
              </w:rPr>
            </w:pPr>
          </w:p>
        </w:tc>
        <w:tc>
          <w:tcPr>
            <w:tcW w:w="3247" w:type="dxa"/>
          </w:tcPr>
          <w:p w14:paraId="6F701AA1" w14:textId="77777777" w:rsidR="00AC62C2" w:rsidRPr="00E577A9" w:rsidRDefault="00AC62C2" w:rsidP="00E4241D">
            <w:pPr>
              <w:rPr>
                <w:b/>
                <w:lang w:val="ru-RU"/>
              </w:rPr>
            </w:pPr>
            <w:r w:rsidRPr="00A65655">
              <w:rPr>
                <w:b/>
                <w:lang w:val="sr-Cyrl-RS"/>
              </w:rPr>
              <w:t xml:space="preserve">Чл. 3. ставови 4. и 5. </w:t>
            </w:r>
            <w:r w:rsidRPr="00A65655">
              <w:rPr>
                <w:bCs/>
                <w:lang w:val="sr-Cyrl-RS"/>
              </w:rPr>
              <w:t xml:space="preserve">Да се </w:t>
            </w:r>
            <w:r>
              <w:rPr>
                <w:bCs/>
                <w:lang w:val="sr-Cyrl-RS"/>
              </w:rPr>
              <w:t>укључе и</w:t>
            </w:r>
            <w:r w:rsidRPr="00A65655">
              <w:rPr>
                <w:bCs/>
                <w:lang w:val="sr-Cyrl-RS"/>
              </w:rPr>
              <w:t xml:space="preserve"> представници кровне организације младих као чланови Стручне и посебних стручних група/ да </w:t>
            </w:r>
            <w:r>
              <w:rPr>
                <w:bCs/>
                <w:lang w:val="sr-Cyrl-RS"/>
              </w:rPr>
              <w:t>се чланство организационе струк</w:t>
            </w:r>
            <w:r w:rsidRPr="00A65655">
              <w:rPr>
                <w:bCs/>
                <w:lang w:val="sr-Cyrl-RS"/>
              </w:rPr>
              <w:t>т</w:t>
            </w:r>
            <w:r>
              <w:rPr>
                <w:bCs/>
                <w:lang w:val="sr-Cyrl-RS"/>
              </w:rPr>
              <w:t>у</w:t>
            </w:r>
            <w:r w:rsidRPr="00A65655">
              <w:rPr>
                <w:bCs/>
                <w:lang w:val="sr-Cyrl-RS"/>
              </w:rPr>
              <w:t>ре укључе младе</w:t>
            </w:r>
          </w:p>
        </w:tc>
        <w:tc>
          <w:tcPr>
            <w:tcW w:w="3096" w:type="dxa"/>
          </w:tcPr>
          <w:p w14:paraId="3ABA8A4D" w14:textId="77777777" w:rsidR="00AC62C2" w:rsidRPr="00000D1B" w:rsidRDefault="00AC62C2" w:rsidP="00E4241D">
            <w:pPr>
              <w:rPr>
                <w:bCs/>
                <w:lang w:val="sr-Cyrl-RS"/>
              </w:rPr>
            </w:pPr>
            <w:r>
              <w:rPr>
                <w:b/>
                <w:lang w:val="sr-Cyrl-RS"/>
              </w:rPr>
              <w:t>Нису унете измене</w:t>
            </w:r>
            <w:r>
              <w:rPr>
                <w:bCs/>
                <w:lang w:val="sr-Cyrl-RS"/>
              </w:rPr>
              <w:t xml:space="preserve"> - Није циљ Предлога уредбе да неког посебно издвајају од организација цивилног друштва, већ је циљ да што већи број организација цивилног друштва буде укључено у процес израде Плана развоја, да ли као чланови Стручне групе или посебних група (уколико испуњавају критеријуме по Закључку о усвајању смерницама за укључивање организације цивилног друштва у радне групе за израду предлога докумената јавних политика и нацрта, односно предлога прописа </w:t>
            </w:r>
            <w:r>
              <w:rPr>
                <w:bCs/>
                <w:lang w:val="sr-Cyrl-RS"/>
              </w:rPr>
              <w:lastRenderedPageBreak/>
              <w:t xml:space="preserve">(„Службени гласник </w:t>
            </w:r>
            <w:proofErr w:type="spellStart"/>
            <w:r>
              <w:rPr>
                <w:bCs/>
                <w:lang w:val="sr-Cyrl-RS"/>
              </w:rPr>
              <w:t>РС</w:t>
            </w:r>
            <w:r>
              <w:rPr>
                <w:rFonts w:cs="Times New Roman"/>
                <w:bCs/>
                <w:lang w:val="sr-Cyrl-RS"/>
              </w:rPr>
              <w:t>ˮ</w:t>
            </w:r>
            <w:proofErr w:type="spellEnd"/>
            <w:r>
              <w:rPr>
                <w:bCs/>
                <w:lang w:val="sr-Cyrl-RS"/>
              </w:rPr>
              <w:t>, бр. 8/20 и 107/21) или кроз консултативни процес који је дефинисан врло широко самим Предлогом уредбе.</w:t>
            </w:r>
          </w:p>
        </w:tc>
      </w:tr>
      <w:tr w:rsidR="00AC62C2" w:rsidRPr="00E577A9" w14:paraId="30825D24" w14:textId="77777777" w:rsidTr="00E4241D">
        <w:tc>
          <w:tcPr>
            <w:tcW w:w="1541" w:type="dxa"/>
          </w:tcPr>
          <w:p w14:paraId="58E1F2F6" w14:textId="77777777" w:rsidR="00AC62C2" w:rsidRPr="0015773C" w:rsidRDefault="00AC62C2" w:rsidP="00E4241D">
            <w:pPr>
              <w:jc w:val="center"/>
              <w:rPr>
                <w:bCs/>
                <w:lang w:val="sr-Cyrl-RS"/>
              </w:rPr>
            </w:pPr>
            <w:r>
              <w:rPr>
                <w:bCs/>
                <w:lang w:val="sr-Cyrl-RS"/>
              </w:rPr>
              <w:lastRenderedPageBreak/>
              <w:t>6.</w:t>
            </w:r>
          </w:p>
        </w:tc>
        <w:tc>
          <w:tcPr>
            <w:tcW w:w="1745" w:type="dxa"/>
          </w:tcPr>
          <w:p w14:paraId="6F32B43C" w14:textId="77777777" w:rsidR="00AC62C2" w:rsidRDefault="00AC62C2" w:rsidP="00E4241D">
            <w:pPr>
              <w:jc w:val="center"/>
              <w:rPr>
                <w:bCs/>
                <w:lang w:val="sr-Cyrl-RS"/>
              </w:rPr>
            </w:pPr>
            <w:proofErr w:type="spellStart"/>
            <w:r>
              <w:rPr>
                <w:bCs/>
                <w:lang w:val="sr-Cyrl-RS"/>
              </w:rPr>
              <w:t>Предстаница</w:t>
            </w:r>
            <w:proofErr w:type="spellEnd"/>
            <w:r>
              <w:rPr>
                <w:bCs/>
                <w:lang w:val="sr-Cyrl-RS"/>
              </w:rPr>
              <w:t xml:space="preserve"> </w:t>
            </w:r>
            <w:proofErr w:type="spellStart"/>
            <w:r>
              <w:rPr>
                <w:bCs/>
                <w:lang w:val="sr-Cyrl-RS"/>
              </w:rPr>
              <w:t>Конвцента</w:t>
            </w:r>
            <w:proofErr w:type="spellEnd"/>
            <w:r>
              <w:rPr>
                <w:bCs/>
                <w:lang w:val="sr-Cyrl-RS"/>
              </w:rPr>
              <w:t xml:space="preserve"> о ЕУ</w:t>
            </w:r>
          </w:p>
        </w:tc>
        <w:tc>
          <w:tcPr>
            <w:tcW w:w="3247" w:type="dxa"/>
          </w:tcPr>
          <w:p w14:paraId="07395F15" w14:textId="77777777" w:rsidR="00AC62C2" w:rsidRDefault="00AC62C2" w:rsidP="00E4241D">
            <w:pPr>
              <w:rPr>
                <w:b/>
                <w:lang w:val="sr-Cyrl-RS"/>
              </w:rPr>
            </w:pPr>
            <w:r>
              <w:rPr>
                <w:b/>
                <w:lang w:val="sr-Cyrl-RS"/>
              </w:rPr>
              <w:t xml:space="preserve">Чл. 3. ст. 5. </w:t>
            </w:r>
            <w:r w:rsidRPr="005C5556">
              <w:rPr>
                <w:bCs/>
                <w:lang w:val="sr-Cyrl-RS"/>
              </w:rPr>
              <w:t>Да се уврсте критеријуми</w:t>
            </w:r>
            <w:r>
              <w:rPr>
                <w:b/>
                <w:lang w:val="sr-Cyrl-RS"/>
              </w:rPr>
              <w:t xml:space="preserve"> </w:t>
            </w:r>
            <w:r w:rsidRPr="00590A10">
              <w:rPr>
                <w:bCs/>
                <w:lang w:val="sr-Cyrl-RS"/>
              </w:rPr>
              <w:t>на који начин ће се бирати чланови Стручне групе и посебних стручних група у складу са њиховом експертизом</w:t>
            </w:r>
          </w:p>
        </w:tc>
        <w:tc>
          <w:tcPr>
            <w:tcW w:w="3096" w:type="dxa"/>
          </w:tcPr>
          <w:p w14:paraId="3F0150B7" w14:textId="77777777" w:rsidR="00AC62C2" w:rsidRPr="00E3708F" w:rsidRDefault="00AC62C2" w:rsidP="00E4241D">
            <w:pPr>
              <w:rPr>
                <w:bCs/>
                <w:lang w:val="sr-Latn-RS"/>
              </w:rPr>
            </w:pPr>
            <w:r>
              <w:rPr>
                <w:b/>
                <w:lang w:val="sr-Cyrl-RS"/>
              </w:rPr>
              <w:t>Нису унете измене</w:t>
            </w:r>
            <w:r>
              <w:rPr>
                <w:bCs/>
                <w:lang w:val="sr-Cyrl-RS"/>
              </w:rPr>
              <w:t xml:space="preserve"> - Закључком о усвајању смерницама за укључивање организације цивилног друштва у радне групе за израду предлога докумената јавних политика и нацрта, односно предлога прописа („Службени гласник </w:t>
            </w:r>
            <w:proofErr w:type="spellStart"/>
            <w:r>
              <w:rPr>
                <w:bCs/>
                <w:lang w:val="sr-Cyrl-RS"/>
              </w:rPr>
              <w:t>РС</w:t>
            </w:r>
            <w:r>
              <w:rPr>
                <w:rFonts w:cs="Times New Roman"/>
                <w:bCs/>
                <w:lang w:val="sr-Cyrl-RS"/>
              </w:rPr>
              <w:t>ˮ</w:t>
            </w:r>
            <w:proofErr w:type="spellEnd"/>
            <w:r>
              <w:rPr>
                <w:bCs/>
                <w:lang w:val="sr-Cyrl-RS"/>
              </w:rPr>
              <w:t>, бр. 8/20 и 107/21) јасно су дефинисани критеријуми за избор представника ОЦД у Радне групе, као и сам поступак. Из горе изнетих разлога, није било потребе оптерећивати текст Предлога уредбе са темама које су већ уређене у нашем правном систему.</w:t>
            </w:r>
          </w:p>
        </w:tc>
      </w:tr>
      <w:tr w:rsidR="00AC62C2" w:rsidRPr="00E577A9" w14:paraId="3FAA644F" w14:textId="77777777" w:rsidTr="00E4241D">
        <w:tc>
          <w:tcPr>
            <w:tcW w:w="1541" w:type="dxa"/>
          </w:tcPr>
          <w:p w14:paraId="143BEDB2" w14:textId="77777777" w:rsidR="00AC62C2" w:rsidRPr="0015773C" w:rsidRDefault="00AC62C2" w:rsidP="00E4241D">
            <w:pPr>
              <w:jc w:val="center"/>
              <w:rPr>
                <w:bCs/>
                <w:lang w:val="sr-Cyrl-RS"/>
              </w:rPr>
            </w:pPr>
            <w:r>
              <w:rPr>
                <w:bCs/>
                <w:lang w:val="sr-Cyrl-RS"/>
              </w:rPr>
              <w:t>7.</w:t>
            </w:r>
          </w:p>
        </w:tc>
        <w:tc>
          <w:tcPr>
            <w:tcW w:w="1745" w:type="dxa"/>
          </w:tcPr>
          <w:p w14:paraId="5A1A814E" w14:textId="77777777" w:rsidR="00AC62C2" w:rsidRDefault="00AC62C2" w:rsidP="00E4241D">
            <w:pPr>
              <w:jc w:val="center"/>
              <w:rPr>
                <w:bCs/>
                <w:lang w:val="sr-Cyrl-RS"/>
              </w:rPr>
            </w:pPr>
            <w:r w:rsidRPr="004F1EE1">
              <w:rPr>
                <w:bCs/>
                <w:lang w:val="sr-Cyrl-RS"/>
              </w:rPr>
              <w:t>БОШ</w:t>
            </w:r>
          </w:p>
        </w:tc>
        <w:tc>
          <w:tcPr>
            <w:tcW w:w="3247" w:type="dxa"/>
          </w:tcPr>
          <w:p w14:paraId="45DF7DA7" w14:textId="77777777" w:rsidR="00AC62C2" w:rsidRPr="003E16C3" w:rsidRDefault="00AC62C2" w:rsidP="00E4241D">
            <w:pPr>
              <w:rPr>
                <w:b/>
                <w:lang w:val="sr-Cyrl-RS"/>
              </w:rPr>
            </w:pPr>
            <w:r>
              <w:rPr>
                <w:b/>
                <w:lang w:val="sr-Cyrl-RS"/>
              </w:rPr>
              <w:t xml:space="preserve">Чл. 3. ст. 5. </w:t>
            </w:r>
            <w:r w:rsidRPr="003E16C3">
              <w:rPr>
                <w:bCs/>
                <w:lang w:val="sr-Cyrl-RS"/>
              </w:rPr>
              <w:t>Ко од</w:t>
            </w:r>
            <w:r>
              <w:rPr>
                <w:bCs/>
                <w:lang w:val="sr-Cyrl-RS"/>
              </w:rPr>
              <w:t>р</w:t>
            </w:r>
            <w:r w:rsidRPr="003E16C3">
              <w:rPr>
                <w:bCs/>
                <w:lang w:val="sr-Cyrl-RS"/>
              </w:rPr>
              <w:t>еђује број посебних стручних група</w:t>
            </w:r>
            <w:r>
              <w:rPr>
                <w:bCs/>
                <w:lang w:val="sr-Latn-RS"/>
              </w:rPr>
              <w:t xml:space="preserve">, </w:t>
            </w:r>
            <w:proofErr w:type="spellStart"/>
            <w:r>
              <w:rPr>
                <w:bCs/>
                <w:lang w:val="sr-Latn-RS"/>
              </w:rPr>
              <w:t>односно</w:t>
            </w:r>
            <w:proofErr w:type="spellEnd"/>
            <w:r>
              <w:rPr>
                <w:bCs/>
                <w:lang w:val="sr-Latn-RS"/>
              </w:rPr>
              <w:t xml:space="preserve"> </w:t>
            </w:r>
            <w:proofErr w:type="spellStart"/>
            <w:r>
              <w:rPr>
                <w:bCs/>
                <w:lang w:val="sr-Latn-RS"/>
              </w:rPr>
              <w:t>тематске</w:t>
            </w:r>
            <w:proofErr w:type="spellEnd"/>
            <w:r>
              <w:rPr>
                <w:bCs/>
                <w:lang w:val="sr-Latn-RS"/>
              </w:rPr>
              <w:t xml:space="preserve"> </w:t>
            </w:r>
            <w:proofErr w:type="spellStart"/>
            <w:r>
              <w:rPr>
                <w:bCs/>
                <w:lang w:val="sr-Latn-RS"/>
              </w:rPr>
              <w:t>области</w:t>
            </w:r>
            <w:proofErr w:type="spellEnd"/>
            <w:r w:rsidRPr="003E16C3">
              <w:rPr>
                <w:bCs/>
                <w:lang w:val="sr-Cyrl-RS"/>
              </w:rPr>
              <w:t xml:space="preserve"> и у ком тренутку</w:t>
            </w:r>
            <w:r>
              <w:rPr>
                <w:bCs/>
                <w:lang w:val="sr-Cyrl-RS"/>
              </w:rPr>
              <w:t xml:space="preserve">, да ли могло да се то уреди Уредбом? </w:t>
            </w:r>
          </w:p>
        </w:tc>
        <w:tc>
          <w:tcPr>
            <w:tcW w:w="3096" w:type="dxa"/>
          </w:tcPr>
          <w:p w14:paraId="29E45439" w14:textId="77777777" w:rsidR="00AC62C2" w:rsidRPr="00CC4D2C" w:rsidRDefault="00AC62C2" w:rsidP="00E4241D">
            <w:pPr>
              <w:rPr>
                <w:b/>
                <w:bCs/>
                <w:lang w:val="sr-Cyrl-RS"/>
              </w:rPr>
            </w:pPr>
            <w:r w:rsidRPr="00CC4D2C">
              <w:rPr>
                <w:b/>
                <w:bCs/>
                <w:lang w:val="sr-Cyrl-RS"/>
              </w:rPr>
              <w:t>Нису унете измене.</w:t>
            </w:r>
          </w:p>
          <w:p w14:paraId="377FDF68" w14:textId="77777777" w:rsidR="00AC62C2" w:rsidRPr="00000D1B" w:rsidRDefault="00AC62C2" w:rsidP="00E4241D">
            <w:pPr>
              <w:rPr>
                <w:bCs/>
                <w:lang w:val="sr-Cyrl-RS"/>
              </w:rPr>
            </w:pPr>
            <w:r>
              <w:rPr>
                <w:bCs/>
                <w:lang w:val="sr-Cyrl-RS"/>
              </w:rPr>
              <w:t xml:space="preserve">Предлогом уредбе прописано је да Управљачко тело образује поред Стручне групе, и посебне стручне групе. Њихов број, односно тематске области ће зависити од прелиминарних анализа стања, које би требале да буду полазне основе даљих и детаљнијих анализа стања које ће спроводити </w:t>
            </w:r>
            <w:r>
              <w:rPr>
                <w:bCs/>
                <w:lang w:val="sr-Cyrl-RS"/>
              </w:rPr>
              <w:lastRenderedPageBreak/>
              <w:t xml:space="preserve">формиране посебне стручне групе </w:t>
            </w:r>
          </w:p>
        </w:tc>
      </w:tr>
      <w:tr w:rsidR="00AC62C2" w:rsidRPr="00E577A9" w14:paraId="502B8491" w14:textId="77777777" w:rsidTr="00E4241D">
        <w:tc>
          <w:tcPr>
            <w:tcW w:w="1541" w:type="dxa"/>
          </w:tcPr>
          <w:p w14:paraId="06D70823" w14:textId="77777777" w:rsidR="00AC62C2" w:rsidRPr="0015773C" w:rsidRDefault="00AC62C2" w:rsidP="00E4241D">
            <w:pPr>
              <w:jc w:val="center"/>
              <w:rPr>
                <w:bCs/>
                <w:lang w:val="sr-Cyrl-RS"/>
              </w:rPr>
            </w:pPr>
            <w:r>
              <w:rPr>
                <w:bCs/>
                <w:lang w:val="sr-Cyrl-RS"/>
              </w:rPr>
              <w:lastRenderedPageBreak/>
              <w:t>8.</w:t>
            </w:r>
          </w:p>
        </w:tc>
        <w:tc>
          <w:tcPr>
            <w:tcW w:w="1745" w:type="dxa"/>
          </w:tcPr>
          <w:p w14:paraId="025FED9A" w14:textId="77777777" w:rsidR="00AC62C2" w:rsidRPr="0015773C" w:rsidRDefault="00AC62C2" w:rsidP="00E4241D">
            <w:pPr>
              <w:jc w:val="center"/>
              <w:rPr>
                <w:bCs/>
                <w:lang w:val="sr-Cyrl-RS"/>
              </w:rPr>
            </w:pPr>
            <w:r>
              <w:rPr>
                <w:bCs/>
                <w:lang w:val="sr-Cyrl-RS"/>
              </w:rPr>
              <w:t>Представница Конвента о ЕУ /ЦЕВЕС/БОШ</w:t>
            </w:r>
          </w:p>
        </w:tc>
        <w:tc>
          <w:tcPr>
            <w:tcW w:w="3247" w:type="dxa"/>
          </w:tcPr>
          <w:p w14:paraId="352AD9FA" w14:textId="77777777" w:rsidR="00AC62C2" w:rsidRPr="003E16C3" w:rsidRDefault="00AC62C2" w:rsidP="00E4241D">
            <w:pPr>
              <w:rPr>
                <w:bCs/>
                <w:lang w:val="sr-Cyrl-RS"/>
              </w:rPr>
            </w:pPr>
            <w:r>
              <w:rPr>
                <w:b/>
                <w:lang w:val="sr-Cyrl-RS"/>
              </w:rPr>
              <w:t xml:space="preserve">Чл. 3. ст. 6. </w:t>
            </w:r>
            <w:r>
              <w:rPr>
                <w:bCs/>
                <w:lang w:val="sr-Cyrl-RS"/>
              </w:rPr>
              <w:t>На који начин ће се бирати представници организација цивилног друштва, да ли ће бити одређени критеријуми и било би корисно да постоји неки систем бодовања/ да ли се може укључити ПКС за спровођење поступка избора представника привреде</w:t>
            </w:r>
          </w:p>
        </w:tc>
        <w:tc>
          <w:tcPr>
            <w:tcW w:w="3096" w:type="dxa"/>
          </w:tcPr>
          <w:p w14:paraId="47F92C08" w14:textId="77777777" w:rsidR="00AC62C2" w:rsidRPr="00CC4D2C" w:rsidRDefault="00AC62C2" w:rsidP="00E4241D">
            <w:pPr>
              <w:rPr>
                <w:b/>
                <w:bCs/>
                <w:lang w:val="sr-Cyrl-RS"/>
              </w:rPr>
            </w:pPr>
            <w:r w:rsidRPr="00CC4D2C">
              <w:rPr>
                <w:b/>
                <w:bCs/>
                <w:lang w:val="sr-Cyrl-RS"/>
              </w:rPr>
              <w:t xml:space="preserve">Нису унете измене </w:t>
            </w:r>
            <w:r>
              <w:rPr>
                <w:b/>
                <w:bCs/>
                <w:lang w:val="sr-Cyrl-RS"/>
              </w:rPr>
              <w:t>–</w:t>
            </w:r>
            <w:r w:rsidRPr="00CC4D2C">
              <w:rPr>
                <w:b/>
                <w:bCs/>
                <w:lang w:val="sr-Cyrl-RS"/>
              </w:rPr>
              <w:t xml:space="preserve"> тренутно</w:t>
            </w:r>
            <w:r>
              <w:rPr>
                <w:b/>
                <w:bCs/>
                <w:lang w:val="sr-Cyrl-RS"/>
              </w:rPr>
              <w:t>.</w:t>
            </w:r>
          </w:p>
          <w:p w14:paraId="3D1B0214" w14:textId="77777777" w:rsidR="00AC62C2" w:rsidRPr="00000D1B" w:rsidRDefault="00AC62C2" w:rsidP="00E4241D">
            <w:pPr>
              <w:rPr>
                <w:bCs/>
                <w:lang w:val="sr-Cyrl-RS"/>
              </w:rPr>
            </w:pPr>
            <w:r>
              <w:rPr>
                <w:bCs/>
                <w:lang w:val="sr-Cyrl-RS"/>
              </w:rPr>
              <w:t xml:space="preserve">Закључком о усвајању смерницама за укључивање организације цивилног друштва у радне групе за израду предлога докумената јавних политика и нацрта, односно предлога прописа („Службени гласник </w:t>
            </w:r>
            <w:proofErr w:type="spellStart"/>
            <w:r>
              <w:rPr>
                <w:bCs/>
                <w:lang w:val="sr-Cyrl-RS"/>
              </w:rPr>
              <w:t>РС</w:t>
            </w:r>
            <w:r>
              <w:rPr>
                <w:rFonts w:cs="Times New Roman"/>
                <w:bCs/>
                <w:lang w:val="sr-Cyrl-RS"/>
              </w:rPr>
              <w:t>ˮ</w:t>
            </w:r>
            <w:proofErr w:type="spellEnd"/>
            <w:r>
              <w:rPr>
                <w:bCs/>
                <w:lang w:val="sr-Cyrl-RS"/>
              </w:rPr>
              <w:t xml:space="preserve">, бр. 8/20 и 107/21) јасно су дефинисани критеријуми за избор представника ОЦД у Радне групе, као и сам поступак. У погледу избора представника привреде и укључивања ПКС у поступак избора, ће се размотрити у току трајања јавне расправе, јер су већ планирани разговори са њима на ову тему. </w:t>
            </w:r>
          </w:p>
        </w:tc>
      </w:tr>
      <w:tr w:rsidR="00AC62C2" w:rsidRPr="00457F09" w14:paraId="12EA97CB" w14:textId="77777777" w:rsidTr="00E4241D">
        <w:tc>
          <w:tcPr>
            <w:tcW w:w="1541" w:type="dxa"/>
          </w:tcPr>
          <w:p w14:paraId="30899D92" w14:textId="77777777" w:rsidR="00AC62C2" w:rsidRPr="0015773C" w:rsidRDefault="00AC62C2" w:rsidP="00E4241D">
            <w:pPr>
              <w:jc w:val="center"/>
              <w:rPr>
                <w:bCs/>
                <w:lang w:val="sr-Cyrl-RS"/>
              </w:rPr>
            </w:pPr>
            <w:r>
              <w:rPr>
                <w:bCs/>
                <w:lang w:val="sr-Cyrl-RS"/>
              </w:rPr>
              <w:t>9.</w:t>
            </w:r>
          </w:p>
        </w:tc>
        <w:tc>
          <w:tcPr>
            <w:tcW w:w="1745" w:type="dxa"/>
          </w:tcPr>
          <w:p w14:paraId="2A6EBD49" w14:textId="77777777" w:rsidR="00AC62C2" w:rsidRPr="0015773C" w:rsidRDefault="00AC62C2" w:rsidP="00E4241D">
            <w:pPr>
              <w:jc w:val="center"/>
              <w:rPr>
                <w:bCs/>
                <w:lang w:val="sr-Cyrl-RS"/>
              </w:rPr>
            </w:pPr>
            <w:r>
              <w:rPr>
                <w:bCs/>
                <w:lang w:val="sr-Cyrl-RS"/>
              </w:rPr>
              <w:t>БОШ</w:t>
            </w:r>
          </w:p>
        </w:tc>
        <w:tc>
          <w:tcPr>
            <w:tcW w:w="3247" w:type="dxa"/>
          </w:tcPr>
          <w:p w14:paraId="75606BCA" w14:textId="77777777" w:rsidR="00AC62C2" w:rsidRPr="00000D1B" w:rsidRDefault="00AC62C2" w:rsidP="00E4241D">
            <w:pPr>
              <w:jc w:val="both"/>
              <w:rPr>
                <w:bCs/>
                <w:lang w:val="sr-Cyrl-RS"/>
              </w:rPr>
            </w:pPr>
            <w:r w:rsidRPr="00B51223">
              <w:rPr>
                <w:b/>
                <w:lang w:val="sr-Cyrl-RS"/>
              </w:rPr>
              <w:t xml:space="preserve">Чл. 3 ст. 6. – </w:t>
            </w:r>
            <w:r w:rsidRPr="00B51223">
              <w:rPr>
                <w:bCs/>
                <w:lang w:val="sr-Cyrl-RS"/>
              </w:rPr>
              <w:t>допунити текст уредбе на начин да се избор чланова Стручне групе врши на исти начин као и за посебне радне групе</w:t>
            </w:r>
            <w:r>
              <w:rPr>
                <w:bCs/>
                <w:lang w:val="sr-Cyrl-RS"/>
              </w:rPr>
              <w:t>.</w:t>
            </w:r>
            <w:r w:rsidRPr="00000D1B">
              <w:rPr>
                <w:bCs/>
                <w:lang w:val="sr-Cyrl-RS"/>
              </w:rPr>
              <w:t xml:space="preserve"> </w:t>
            </w:r>
          </w:p>
        </w:tc>
        <w:tc>
          <w:tcPr>
            <w:tcW w:w="3096" w:type="dxa"/>
          </w:tcPr>
          <w:p w14:paraId="0F140F29" w14:textId="77777777" w:rsidR="00AC62C2" w:rsidRPr="00B51223" w:rsidRDefault="00AC62C2" w:rsidP="00E4241D">
            <w:pPr>
              <w:rPr>
                <w:bCs/>
                <w:lang w:val="sr-Cyrl-RS"/>
              </w:rPr>
            </w:pPr>
            <w:r w:rsidRPr="00B51223">
              <w:rPr>
                <w:b/>
                <w:bCs/>
                <w:lang w:val="sr-Cyrl-RS"/>
              </w:rPr>
              <w:t>Нису унете измене</w:t>
            </w:r>
            <w:r w:rsidRPr="00B51223">
              <w:rPr>
                <w:bCs/>
                <w:lang w:val="sr-Cyrl-RS"/>
              </w:rPr>
              <w:t>.</w:t>
            </w:r>
          </w:p>
          <w:p w14:paraId="0F96453B" w14:textId="77777777" w:rsidR="00AC62C2" w:rsidRPr="00B51223" w:rsidRDefault="00AC62C2" w:rsidP="00E4241D">
            <w:pPr>
              <w:rPr>
                <w:bCs/>
                <w:iCs/>
                <w:highlight w:val="yellow"/>
                <w:lang w:val="sr-Cyrl-RS"/>
              </w:rPr>
            </w:pPr>
            <w:r>
              <w:rPr>
                <w:bCs/>
                <w:iCs/>
                <w:lang w:val="sr-Cyrl-RS"/>
              </w:rPr>
              <w:t xml:space="preserve">Како Стручна група пружа непосредну подршку са основим задатком да учествује у појединим сегментима Плана развоја, избор чланова Стручна група као једине у овом процесу не може да буде истоветан као са избором чланова посебних стручних група и с тим у вези, превиђено је да као чланови Стручне групе </w:t>
            </w:r>
            <w:r>
              <w:rPr>
                <w:bCs/>
                <w:iCs/>
                <w:lang w:val="sr-Cyrl-RS"/>
              </w:rPr>
              <w:lastRenderedPageBreak/>
              <w:t>буду представници удружења организација цивилног друштва и привреде.</w:t>
            </w:r>
          </w:p>
        </w:tc>
      </w:tr>
      <w:tr w:rsidR="00AC62C2" w:rsidRPr="00E577A9" w14:paraId="3E7307DC" w14:textId="77777777" w:rsidTr="00E4241D">
        <w:tc>
          <w:tcPr>
            <w:tcW w:w="1541" w:type="dxa"/>
          </w:tcPr>
          <w:p w14:paraId="4CCDF26E" w14:textId="77777777" w:rsidR="00AC62C2" w:rsidRPr="0015773C" w:rsidRDefault="00AC62C2" w:rsidP="00E4241D">
            <w:pPr>
              <w:jc w:val="center"/>
              <w:rPr>
                <w:bCs/>
                <w:lang w:val="sr-Cyrl-RS"/>
              </w:rPr>
            </w:pPr>
            <w:r>
              <w:rPr>
                <w:bCs/>
                <w:lang w:val="sr-Cyrl-RS"/>
              </w:rPr>
              <w:lastRenderedPageBreak/>
              <w:t>10.</w:t>
            </w:r>
          </w:p>
        </w:tc>
        <w:tc>
          <w:tcPr>
            <w:tcW w:w="1745" w:type="dxa"/>
          </w:tcPr>
          <w:p w14:paraId="13DA3BD5" w14:textId="77777777" w:rsidR="00AC62C2" w:rsidRDefault="00AC62C2" w:rsidP="00E4241D">
            <w:pPr>
              <w:jc w:val="center"/>
              <w:rPr>
                <w:bCs/>
                <w:lang w:val="sr-Cyrl-RS"/>
              </w:rPr>
            </w:pPr>
            <w:r>
              <w:rPr>
                <w:bCs/>
                <w:lang w:val="sr-Cyrl-RS"/>
              </w:rPr>
              <w:t>ЦЕП</w:t>
            </w:r>
          </w:p>
        </w:tc>
        <w:tc>
          <w:tcPr>
            <w:tcW w:w="3247" w:type="dxa"/>
          </w:tcPr>
          <w:p w14:paraId="36361400" w14:textId="77777777" w:rsidR="00AC62C2" w:rsidRPr="00B51EF0" w:rsidRDefault="00AC62C2" w:rsidP="00E4241D">
            <w:pPr>
              <w:rPr>
                <w:bCs/>
                <w:lang w:val="sr-Cyrl-RS"/>
              </w:rPr>
            </w:pPr>
            <w:r>
              <w:rPr>
                <w:b/>
                <w:lang w:val="sr-Cyrl-RS"/>
              </w:rPr>
              <w:t xml:space="preserve">Чл. 3. ст. 9. </w:t>
            </w:r>
            <w:r>
              <w:rPr>
                <w:bCs/>
                <w:lang w:val="sr-Cyrl-RS"/>
              </w:rPr>
              <w:t>Координациона улога није јасно истакнута</w:t>
            </w:r>
          </w:p>
        </w:tc>
        <w:tc>
          <w:tcPr>
            <w:tcW w:w="3096" w:type="dxa"/>
          </w:tcPr>
          <w:p w14:paraId="53AA11A0" w14:textId="77777777" w:rsidR="00AC62C2" w:rsidRPr="00000D1B" w:rsidRDefault="00AC62C2" w:rsidP="00E4241D">
            <w:pPr>
              <w:rPr>
                <w:bCs/>
                <w:lang w:val="sr-Cyrl-RS"/>
              </w:rPr>
            </w:pPr>
            <w:r w:rsidRPr="00CC4D2C">
              <w:rPr>
                <w:b/>
                <w:bCs/>
                <w:lang w:val="sr-Cyrl-RS"/>
              </w:rPr>
              <w:t>Нису унете измене.</w:t>
            </w:r>
            <w:r>
              <w:rPr>
                <w:bCs/>
                <w:lang w:val="sr-Cyrl-RS"/>
              </w:rPr>
              <w:t xml:space="preserve"> Законом о планском систему, чл. 6. став 3. утврђено је да орган државне управе надлежан за координацију јавних политика припрема Нацрт плана развоја. Кроз цео текст Предлога уредбе координациона улога Републичкој секретаријата за јавне политике је неспорна и јасно дефинисана у свакој фази израде Плана развоја.</w:t>
            </w:r>
          </w:p>
        </w:tc>
      </w:tr>
      <w:tr w:rsidR="00AC62C2" w:rsidRPr="00E577A9" w14:paraId="45A1BE73" w14:textId="77777777" w:rsidTr="00E4241D">
        <w:tc>
          <w:tcPr>
            <w:tcW w:w="1541" w:type="dxa"/>
          </w:tcPr>
          <w:p w14:paraId="5E014981" w14:textId="77777777" w:rsidR="00AC62C2" w:rsidRPr="0015773C" w:rsidRDefault="00AC62C2" w:rsidP="00E4241D">
            <w:pPr>
              <w:jc w:val="center"/>
              <w:rPr>
                <w:bCs/>
                <w:lang w:val="sr-Cyrl-RS"/>
              </w:rPr>
            </w:pPr>
            <w:r>
              <w:rPr>
                <w:bCs/>
                <w:lang w:val="sr-Cyrl-RS"/>
              </w:rPr>
              <w:t>11.</w:t>
            </w:r>
          </w:p>
        </w:tc>
        <w:tc>
          <w:tcPr>
            <w:tcW w:w="1745" w:type="dxa"/>
          </w:tcPr>
          <w:p w14:paraId="726DB7BF" w14:textId="77777777" w:rsidR="00AC62C2" w:rsidRPr="00457F09" w:rsidRDefault="00AC62C2" w:rsidP="00E4241D">
            <w:pPr>
              <w:jc w:val="center"/>
              <w:rPr>
                <w:bCs/>
                <w:color w:val="000000" w:themeColor="text1"/>
                <w:highlight w:val="yellow"/>
                <w:lang w:val="sr-Cyrl-RS"/>
              </w:rPr>
            </w:pPr>
            <w:r w:rsidRPr="00457F09">
              <w:rPr>
                <w:bCs/>
                <w:color w:val="000000" w:themeColor="text1"/>
                <w:lang w:val="sr-Cyrl-RS"/>
              </w:rPr>
              <w:t xml:space="preserve">ЦОРС </w:t>
            </w:r>
          </w:p>
          <w:p w14:paraId="762F0B13" w14:textId="77777777" w:rsidR="00AC62C2" w:rsidRDefault="00AC62C2" w:rsidP="00E4241D">
            <w:pPr>
              <w:jc w:val="center"/>
              <w:rPr>
                <w:bCs/>
                <w:lang w:val="sr-Cyrl-RS"/>
              </w:rPr>
            </w:pPr>
          </w:p>
        </w:tc>
        <w:tc>
          <w:tcPr>
            <w:tcW w:w="3247" w:type="dxa"/>
          </w:tcPr>
          <w:p w14:paraId="05C8DF4D" w14:textId="77777777" w:rsidR="00AC62C2" w:rsidRDefault="00AC62C2" w:rsidP="00E4241D">
            <w:pPr>
              <w:rPr>
                <w:b/>
                <w:lang w:val="sr-Cyrl-RS"/>
              </w:rPr>
            </w:pPr>
            <w:r>
              <w:rPr>
                <w:b/>
                <w:lang w:val="sr-Cyrl-RS"/>
              </w:rPr>
              <w:t xml:space="preserve">Чл. 4. ст. 1. </w:t>
            </w:r>
            <w:r w:rsidRPr="00590A10">
              <w:rPr>
                <w:bCs/>
                <w:lang w:val="sr-Cyrl-RS"/>
              </w:rPr>
              <w:t>да се допуни са обавезом да се анализе припремају узимајући у обзир ут</w:t>
            </w:r>
            <w:r>
              <w:rPr>
                <w:bCs/>
                <w:lang w:val="sr-Cyrl-RS"/>
              </w:rPr>
              <w:t>и</w:t>
            </w:r>
            <w:r w:rsidRPr="00590A10">
              <w:rPr>
                <w:bCs/>
                <w:lang w:val="sr-Cyrl-RS"/>
              </w:rPr>
              <w:t>цај на живот</w:t>
            </w:r>
            <w:r>
              <w:rPr>
                <w:bCs/>
                <w:lang w:val="sr-Cyrl-RS"/>
              </w:rPr>
              <w:t>н</w:t>
            </w:r>
            <w:r w:rsidRPr="00590A10">
              <w:rPr>
                <w:bCs/>
                <w:lang w:val="sr-Cyrl-RS"/>
              </w:rPr>
              <w:t>у средину и зелену транзи</w:t>
            </w:r>
            <w:r>
              <w:rPr>
                <w:bCs/>
                <w:lang w:val="sr-Cyrl-RS"/>
              </w:rPr>
              <w:t>ц</w:t>
            </w:r>
            <w:r w:rsidRPr="00590A10">
              <w:rPr>
                <w:bCs/>
                <w:lang w:val="sr-Cyrl-RS"/>
              </w:rPr>
              <w:t>ију</w:t>
            </w:r>
            <w:r>
              <w:rPr>
                <w:b/>
                <w:lang w:val="sr-Cyrl-RS"/>
              </w:rPr>
              <w:t xml:space="preserve"> </w:t>
            </w:r>
          </w:p>
        </w:tc>
        <w:tc>
          <w:tcPr>
            <w:tcW w:w="3096" w:type="dxa"/>
          </w:tcPr>
          <w:p w14:paraId="062B4925" w14:textId="77777777" w:rsidR="00AC62C2" w:rsidRPr="003F133E" w:rsidRDefault="00AC62C2" w:rsidP="00E4241D">
            <w:pPr>
              <w:rPr>
                <w:bCs/>
                <w:lang w:val="sr-Cyrl-RS"/>
              </w:rPr>
            </w:pPr>
            <w:r>
              <w:rPr>
                <w:b/>
                <w:lang w:val="sr-Cyrl-RS"/>
              </w:rPr>
              <w:t>Нису унете измене</w:t>
            </w:r>
            <w:r>
              <w:rPr>
                <w:bCs/>
                <w:lang w:val="sr-Cyrl-RS"/>
              </w:rPr>
              <w:t xml:space="preserve"> – Анализе обухваћене чланом 4. став 1. Предлога уредбе обухватају широк опсег области које ће се анализирати и бити основа за израду Извештаја о постојећем стању. У те области, ће </w:t>
            </w:r>
            <w:proofErr w:type="spellStart"/>
            <w:r>
              <w:rPr>
                <w:bCs/>
                <w:lang w:val="sr-Cyrl-RS"/>
              </w:rPr>
              <w:t>несумљиво</w:t>
            </w:r>
            <w:proofErr w:type="spellEnd"/>
            <w:r>
              <w:rPr>
                <w:bCs/>
                <w:lang w:val="sr-Cyrl-RS"/>
              </w:rPr>
              <w:t xml:space="preserve"> бити укључене и анализе које се односе на животну средину и зелену транзицију. </w:t>
            </w:r>
          </w:p>
        </w:tc>
      </w:tr>
      <w:tr w:rsidR="00AC62C2" w:rsidRPr="00E577A9" w14:paraId="4F8FD564" w14:textId="77777777" w:rsidTr="00E4241D">
        <w:tc>
          <w:tcPr>
            <w:tcW w:w="1541" w:type="dxa"/>
          </w:tcPr>
          <w:p w14:paraId="6914097B" w14:textId="77777777" w:rsidR="00AC62C2" w:rsidRPr="0015773C" w:rsidRDefault="00AC62C2" w:rsidP="00E4241D">
            <w:pPr>
              <w:jc w:val="center"/>
              <w:rPr>
                <w:bCs/>
                <w:lang w:val="sr-Cyrl-RS"/>
              </w:rPr>
            </w:pPr>
            <w:r>
              <w:rPr>
                <w:bCs/>
                <w:lang w:val="sr-Cyrl-RS"/>
              </w:rPr>
              <w:t>12.</w:t>
            </w:r>
          </w:p>
        </w:tc>
        <w:tc>
          <w:tcPr>
            <w:tcW w:w="1745" w:type="dxa"/>
          </w:tcPr>
          <w:p w14:paraId="40BCAD5E" w14:textId="77777777" w:rsidR="00AC62C2" w:rsidRDefault="00AC62C2" w:rsidP="00E4241D">
            <w:pPr>
              <w:jc w:val="center"/>
              <w:rPr>
                <w:bCs/>
                <w:lang w:val="sr-Cyrl-RS"/>
              </w:rPr>
            </w:pPr>
            <w:r>
              <w:rPr>
                <w:bCs/>
                <w:lang w:val="sr-Cyrl-RS"/>
              </w:rPr>
              <w:t>ЦЕВЕС</w:t>
            </w:r>
          </w:p>
        </w:tc>
        <w:tc>
          <w:tcPr>
            <w:tcW w:w="3247" w:type="dxa"/>
          </w:tcPr>
          <w:p w14:paraId="2153C864" w14:textId="77777777" w:rsidR="00AC62C2" w:rsidRDefault="00AC62C2" w:rsidP="00E4241D">
            <w:pPr>
              <w:rPr>
                <w:b/>
                <w:lang w:val="sr-Cyrl-RS"/>
              </w:rPr>
            </w:pPr>
            <w:r>
              <w:rPr>
                <w:b/>
                <w:lang w:val="sr-Cyrl-RS"/>
              </w:rPr>
              <w:t xml:space="preserve">Чл. 4. ст. 1. тачка 2) </w:t>
            </w:r>
            <w:r w:rsidRPr="006718FB">
              <w:rPr>
                <w:bCs/>
                <w:lang w:val="sr-Cyrl-RS"/>
              </w:rPr>
              <w:t>да се дода реч „главни</w:t>
            </w:r>
            <w:r w:rsidRPr="006718FB">
              <w:rPr>
                <w:rFonts w:cs="Times New Roman"/>
                <w:bCs/>
                <w:lang w:val="sr-Cyrl-RS"/>
              </w:rPr>
              <w:t>”</w:t>
            </w:r>
            <w:r w:rsidRPr="006718FB">
              <w:rPr>
                <w:bCs/>
                <w:lang w:val="sr-Cyrl-RS"/>
              </w:rPr>
              <w:t xml:space="preserve"> уз реч потенциј</w:t>
            </w:r>
            <w:r>
              <w:rPr>
                <w:bCs/>
                <w:lang w:val="sr-Cyrl-RS"/>
              </w:rPr>
              <w:t>а</w:t>
            </w:r>
            <w:r w:rsidRPr="006718FB">
              <w:rPr>
                <w:bCs/>
                <w:lang w:val="sr-Cyrl-RS"/>
              </w:rPr>
              <w:t>ли</w:t>
            </w:r>
            <w:r>
              <w:rPr>
                <w:b/>
                <w:lang w:val="sr-Cyrl-RS"/>
              </w:rPr>
              <w:t xml:space="preserve"> </w:t>
            </w:r>
          </w:p>
        </w:tc>
        <w:tc>
          <w:tcPr>
            <w:tcW w:w="3096" w:type="dxa"/>
          </w:tcPr>
          <w:p w14:paraId="263B649E" w14:textId="77777777" w:rsidR="00AC62C2" w:rsidRPr="00000D1B" w:rsidRDefault="00AC62C2" w:rsidP="00E4241D">
            <w:pPr>
              <w:rPr>
                <w:bCs/>
                <w:lang w:val="sr-Cyrl-RS"/>
              </w:rPr>
            </w:pPr>
            <w:r>
              <w:rPr>
                <w:b/>
                <w:lang w:val="sr-Cyrl-RS"/>
              </w:rPr>
              <w:t>Нису унете измене</w:t>
            </w:r>
            <w:r>
              <w:rPr>
                <w:bCs/>
                <w:lang w:val="sr-Cyrl-RS"/>
              </w:rPr>
              <w:t xml:space="preserve"> – Предложен појам „главни“ може да изазове проблеме у примени ове правне норме и то са аспекта процене који су развојни потенцијали дефинисани </w:t>
            </w:r>
            <w:r>
              <w:rPr>
                <w:bCs/>
                <w:lang w:val="sr-Cyrl-RS"/>
              </w:rPr>
              <w:lastRenderedPageBreak/>
              <w:t>као „главни“. Наиме, циљ је да сваки развојни потенцијал који може да се искористи буде искоришћен у интересу грађана Републике Србије.</w:t>
            </w:r>
          </w:p>
        </w:tc>
      </w:tr>
      <w:tr w:rsidR="00AC62C2" w:rsidRPr="00E577A9" w14:paraId="1BD855C7" w14:textId="77777777" w:rsidTr="00E4241D">
        <w:tc>
          <w:tcPr>
            <w:tcW w:w="1541" w:type="dxa"/>
          </w:tcPr>
          <w:p w14:paraId="5BFA4EEB" w14:textId="77777777" w:rsidR="00AC62C2" w:rsidRPr="0015773C" w:rsidRDefault="00AC62C2" w:rsidP="00E4241D">
            <w:pPr>
              <w:jc w:val="center"/>
              <w:rPr>
                <w:bCs/>
                <w:lang w:val="sr-Cyrl-RS"/>
              </w:rPr>
            </w:pPr>
            <w:r>
              <w:rPr>
                <w:bCs/>
                <w:lang w:val="sr-Cyrl-RS"/>
              </w:rPr>
              <w:lastRenderedPageBreak/>
              <w:t>13.</w:t>
            </w:r>
          </w:p>
        </w:tc>
        <w:tc>
          <w:tcPr>
            <w:tcW w:w="1745" w:type="dxa"/>
          </w:tcPr>
          <w:p w14:paraId="2CB2754C" w14:textId="77777777" w:rsidR="00AC62C2" w:rsidRDefault="00AC62C2" w:rsidP="00E4241D">
            <w:pPr>
              <w:jc w:val="center"/>
              <w:rPr>
                <w:bCs/>
                <w:lang w:val="sr-Cyrl-RS"/>
              </w:rPr>
            </w:pPr>
            <w:r>
              <w:rPr>
                <w:bCs/>
                <w:lang w:val="sr-Cyrl-RS"/>
              </w:rPr>
              <w:t>ЦЕП</w:t>
            </w:r>
          </w:p>
        </w:tc>
        <w:tc>
          <w:tcPr>
            <w:tcW w:w="3247" w:type="dxa"/>
          </w:tcPr>
          <w:p w14:paraId="554ABBFA" w14:textId="77777777" w:rsidR="00AC62C2" w:rsidRDefault="00AC62C2" w:rsidP="00E4241D">
            <w:pPr>
              <w:rPr>
                <w:b/>
                <w:lang w:val="sr-Cyrl-RS"/>
              </w:rPr>
            </w:pPr>
            <w:r>
              <w:rPr>
                <w:b/>
                <w:lang w:val="sr-Cyrl-RS"/>
              </w:rPr>
              <w:t xml:space="preserve">Чл. 5. </w:t>
            </w:r>
            <w:r w:rsidRPr="006718FB">
              <w:rPr>
                <w:bCs/>
                <w:lang w:val="sr-Cyrl-RS"/>
              </w:rPr>
              <w:t>Народн</w:t>
            </w:r>
            <w:r>
              <w:rPr>
                <w:bCs/>
                <w:lang w:val="sr-Cyrl-RS"/>
              </w:rPr>
              <w:t>а</w:t>
            </w:r>
            <w:r w:rsidRPr="006718FB">
              <w:rPr>
                <w:bCs/>
                <w:lang w:val="sr-Cyrl-RS"/>
              </w:rPr>
              <w:t xml:space="preserve"> скупштина се појављује на крају процеса, размислити да се укључи у консултативни проц</w:t>
            </w:r>
            <w:r>
              <w:rPr>
                <w:bCs/>
                <w:lang w:val="sr-Cyrl-RS"/>
              </w:rPr>
              <w:t>е</w:t>
            </w:r>
            <w:r w:rsidRPr="006718FB">
              <w:rPr>
                <w:bCs/>
                <w:lang w:val="sr-Cyrl-RS"/>
              </w:rPr>
              <w:t xml:space="preserve">с у фази </w:t>
            </w:r>
            <w:proofErr w:type="spellStart"/>
            <w:r w:rsidRPr="006718FB">
              <w:rPr>
                <w:bCs/>
                <w:lang w:val="sr-Cyrl-RS"/>
              </w:rPr>
              <w:t>приоритизације</w:t>
            </w:r>
            <w:proofErr w:type="spellEnd"/>
          </w:p>
        </w:tc>
        <w:tc>
          <w:tcPr>
            <w:tcW w:w="3096" w:type="dxa"/>
          </w:tcPr>
          <w:p w14:paraId="2F1A37B8" w14:textId="77777777" w:rsidR="00AC62C2" w:rsidRPr="00000D1B" w:rsidRDefault="00AC62C2" w:rsidP="00E4241D">
            <w:pPr>
              <w:rPr>
                <w:bCs/>
                <w:lang w:val="sr-Cyrl-RS"/>
              </w:rPr>
            </w:pPr>
            <w:r>
              <w:rPr>
                <w:b/>
                <w:lang w:val="sr-Cyrl-RS"/>
              </w:rPr>
              <w:t>Нису унете измене</w:t>
            </w:r>
            <w:r>
              <w:rPr>
                <w:bCs/>
                <w:lang w:val="sr-Cyrl-RS"/>
              </w:rPr>
              <w:t xml:space="preserve"> – Устав Републике Србије („Службени гласник РС“ , бр. 98/06 и 16/22) је утврдио надлежност и функцију Народне скупштине. Такође, Закон о народној скупштини („Службени гласник РС“ број 9/10) је, између осталог, утврдио положај, надлежност, организацију и начин рада Народне скупштине, што произилази из Устава РС. Дакле, како је правни поредак Републике Србије јединствен (поменуто јединство утврђено  у Уставу РС), значи да сви закони и подзаконски акти морају да буду у складу са Уставом РС, као и међусобно усклађени. Из свега наведеног, произилази да је улога Народне скупштине јасно и прецизно дефинисана, те не можемо једним подзаконским актом, тј. овим Предлогом уредбе да дефинишемо нову улогу, односно надлежност Народне скупштине. У вези спровођења </w:t>
            </w:r>
            <w:r>
              <w:rPr>
                <w:bCs/>
                <w:lang w:val="sr-Cyrl-RS"/>
              </w:rPr>
              <w:lastRenderedPageBreak/>
              <w:t xml:space="preserve">консултативног процеса у току израде Плана развоја, планирано је и укључивање представника Народне скупштине, кроз састанке </w:t>
            </w:r>
            <w:proofErr w:type="spellStart"/>
            <w:r>
              <w:rPr>
                <w:bCs/>
                <w:lang w:val="sr-Cyrl-RS"/>
              </w:rPr>
              <w:t>кокуса</w:t>
            </w:r>
            <w:proofErr w:type="spellEnd"/>
            <w:r>
              <w:rPr>
                <w:bCs/>
                <w:lang w:val="sr-Cyrl-RS"/>
              </w:rPr>
              <w:t xml:space="preserve"> и јавна слушања.</w:t>
            </w:r>
          </w:p>
        </w:tc>
      </w:tr>
      <w:tr w:rsidR="00AC62C2" w:rsidRPr="008B2095" w14:paraId="6151FF60" w14:textId="77777777" w:rsidTr="00E4241D">
        <w:tc>
          <w:tcPr>
            <w:tcW w:w="1541" w:type="dxa"/>
          </w:tcPr>
          <w:p w14:paraId="555F7527" w14:textId="77777777" w:rsidR="00AC62C2" w:rsidRPr="0015773C" w:rsidRDefault="00AC62C2" w:rsidP="00E4241D">
            <w:pPr>
              <w:jc w:val="center"/>
              <w:rPr>
                <w:bCs/>
                <w:lang w:val="sr-Cyrl-RS"/>
              </w:rPr>
            </w:pPr>
            <w:r>
              <w:rPr>
                <w:bCs/>
                <w:lang w:val="sr-Cyrl-RS"/>
              </w:rPr>
              <w:lastRenderedPageBreak/>
              <w:t>14.</w:t>
            </w:r>
          </w:p>
        </w:tc>
        <w:tc>
          <w:tcPr>
            <w:tcW w:w="1745" w:type="dxa"/>
          </w:tcPr>
          <w:p w14:paraId="4A1E4C68" w14:textId="77777777" w:rsidR="00AC62C2" w:rsidRDefault="00AC62C2" w:rsidP="00E4241D">
            <w:pPr>
              <w:jc w:val="center"/>
              <w:rPr>
                <w:bCs/>
                <w:lang w:val="sr-Cyrl-RS"/>
              </w:rPr>
            </w:pPr>
            <w:r>
              <w:rPr>
                <w:bCs/>
                <w:lang w:val="sr-Cyrl-RS"/>
              </w:rPr>
              <w:t>Фондација Центар за демократију</w:t>
            </w:r>
          </w:p>
        </w:tc>
        <w:tc>
          <w:tcPr>
            <w:tcW w:w="3247" w:type="dxa"/>
          </w:tcPr>
          <w:p w14:paraId="07661990" w14:textId="77777777" w:rsidR="00AC62C2" w:rsidRDefault="00AC62C2" w:rsidP="00E4241D">
            <w:pPr>
              <w:rPr>
                <w:b/>
                <w:lang w:val="sr-Cyrl-RS"/>
              </w:rPr>
            </w:pPr>
            <w:r>
              <w:rPr>
                <w:b/>
                <w:lang w:val="sr-Cyrl-RS"/>
              </w:rPr>
              <w:t xml:space="preserve">Чл. 5. ст. 1. </w:t>
            </w:r>
            <w:r w:rsidRPr="004B4E8C">
              <w:rPr>
                <w:bCs/>
                <w:lang w:val="sr-Cyrl-RS"/>
              </w:rPr>
              <w:t>Да ли је могуће допу</w:t>
            </w:r>
            <w:r>
              <w:rPr>
                <w:bCs/>
                <w:lang w:val="sr-Cyrl-RS"/>
              </w:rPr>
              <w:t>њ</w:t>
            </w:r>
            <w:r w:rsidRPr="004B4E8C">
              <w:rPr>
                <w:bCs/>
                <w:lang w:val="sr-Cyrl-RS"/>
              </w:rPr>
              <w:t>авати анализе и у току израде Плана развоја, због могућих измена услед промена током периода у којем се припрема овај документ</w:t>
            </w:r>
          </w:p>
        </w:tc>
        <w:tc>
          <w:tcPr>
            <w:tcW w:w="3096" w:type="dxa"/>
          </w:tcPr>
          <w:p w14:paraId="72EF4C60" w14:textId="77777777" w:rsidR="00AC62C2" w:rsidRPr="00000D1B" w:rsidRDefault="00AC62C2" w:rsidP="00E4241D">
            <w:pPr>
              <w:rPr>
                <w:bCs/>
                <w:lang w:val="sr-Cyrl-RS"/>
              </w:rPr>
            </w:pPr>
            <w:r w:rsidRPr="00364F69">
              <w:rPr>
                <w:b/>
                <w:bCs/>
                <w:lang w:val="sr-Cyrl-RS"/>
              </w:rPr>
              <w:t>Одговор на питање</w:t>
            </w:r>
            <w:r>
              <w:rPr>
                <w:bCs/>
                <w:lang w:val="sr-Cyrl-RS"/>
              </w:rPr>
              <w:t xml:space="preserve"> је - Да. Анализе се могу допуњавати и ажурирати у току припреме Плана развоја, у складу са неком новонасталом ситуацијом. То ће бити задатак посебних </w:t>
            </w:r>
            <w:proofErr w:type="spellStart"/>
            <w:r>
              <w:rPr>
                <w:bCs/>
                <w:lang w:val="sr-Cyrl-RS"/>
              </w:rPr>
              <w:t>сручних</w:t>
            </w:r>
            <w:proofErr w:type="spellEnd"/>
            <w:r>
              <w:rPr>
                <w:bCs/>
                <w:lang w:val="sr-Cyrl-RS"/>
              </w:rPr>
              <w:t xml:space="preserve"> група.</w:t>
            </w:r>
          </w:p>
        </w:tc>
      </w:tr>
      <w:tr w:rsidR="00AC62C2" w:rsidRPr="00E577A9" w14:paraId="4969AD84" w14:textId="77777777" w:rsidTr="00E4241D">
        <w:tc>
          <w:tcPr>
            <w:tcW w:w="1541" w:type="dxa"/>
          </w:tcPr>
          <w:p w14:paraId="21BEF37F" w14:textId="77777777" w:rsidR="00AC62C2" w:rsidRPr="0015773C" w:rsidRDefault="00AC62C2" w:rsidP="00E4241D">
            <w:pPr>
              <w:jc w:val="center"/>
              <w:rPr>
                <w:bCs/>
                <w:lang w:val="sr-Cyrl-RS"/>
              </w:rPr>
            </w:pPr>
            <w:r>
              <w:rPr>
                <w:bCs/>
                <w:lang w:val="sr-Cyrl-RS"/>
              </w:rPr>
              <w:t>15.</w:t>
            </w:r>
          </w:p>
        </w:tc>
        <w:tc>
          <w:tcPr>
            <w:tcW w:w="1745" w:type="dxa"/>
          </w:tcPr>
          <w:p w14:paraId="35901F03" w14:textId="77777777" w:rsidR="00AC62C2" w:rsidRDefault="00AC62C2" w:rsidP="00E4241D">
            <w:pPr>
              <w:jc w:val="center"/>
              <w:rPr>
                <w:bCs/>
                <w:lang w:val="sr-Cyrl-RS"/>
              </w:rPr>
            </w:pPr>
            <w:r>
              <w:rPr>
                <w:bCs/>
                <w:lang w:val="sr-Cyrl-RS"/>
              </w:rPr>
              <w:t>ЦЕВЕС</w:t>
            </w:r>
          </w:p>
        </w:tc>
        <w:tc>
          <w:tcPr>
            <w:tcW w:w="3247" w:type="dxa"/>
          </w:tcPr>
          <w:p w14:paraId="750281B1" w14:textId="77777777" w:rsidR="00AC62C2" w:rsidRDefault="00AC62C2" w:rsidP="00E4241D">
            <w:pPr>
              <w:rPr>
                <w:b/>
                <w:lang w:val="sr-Cyrl-RS"/>
              </w:rPr>
            </w:pPr>
            <w:r>
              <w:rPr>
                <w:b/>
                <w:lang w:val="sr-Cyrl-RS"/>
              </w:rPr>
              <w:t xml:space="preserve">Чл. 5. ст. 1. </w:t>
            </w:r>
            <w:r w:rsidRPr="009F476F">
              <w:rPr>
                <w:bCs/>
                <w:lang w:val="sr-Cyrl-RS"/>
              </w:rPr>
              <w:t>Да ли се планира да се приликом израде ан</w:t>
            </w:r>
            <w:r>
              <w:rPr>
                <w:bCs/>
                <w:lang w:val="sr-Cyrl-RS"/>
              </w:rPr>
              <w:t>а</w:t>
            </w:r>
            <w:r w:rsidRPr="009F476F">
              <w:rPr>
                <w:bCs/>
                <w:lang w:val="sr-Cyrl-RS"/>
              </w:rPr>
              <w:t>лизе постојећег стања</w:t>
            </w:r>
            <w:r>
              <w:rPr>
                <w:b/>
                <w:lang w:val="sr-Cyrl-RS"/>
              </w:rPr>
              <w:t xml:space="preserve"> </w:t>
            </w:r>
            <w:r w:rsidRPr="009F476F">
              <w:rPr>
                <w:bCs/>
                <w:lang w:val="sr-Cyrl-RS"/>
              </w:rPr>
              <w:t xml:space="preserve">изврши нека врста </w:t>
            </w:r>
            <w:proofErr w:type="spellStart"/>
            <w:r w:rsidRPr="009F476F">
              <w:rPr>
                <w:bCs/>
                <w:lang w:val="sr-Cyrl-RS"/>
              </w:rPr>
              <w:t>приоритизације</w:t>
            </w:r>
            <w:proofErr w:type="spellEnd"/>
            <w:r w:rsidRPr="009F476F">
              <w:rPr>
                <w:bCs/>
                <w:lang w:val="sr-Cyrl-RS"/>
              </w:rPr>
              <w:t xml:space="preserve"> и укључи </w:t>
            </w:r>
            <w:r>
              <w:rPr>
                <w:bCs/>
                <w:lang w:val="sr-Cyrl-RS"/>
              </w:rPr>
              <w:t>прилагођавање</w:t>
            </w:r>
            <w:r w:rsidRPr="009F476F">
              <w:rPr>
                <w:bCs/>
                <w:lang w:val="sr-Cyrl-RS"/>
              </w:rPr>
              <w:t xml:space="preserve"> циљева одрживог развоја на Србију</w:t>
            </w:r>
          </w:p>
        </w:tc>
        <w:tc>
          <w:tcPr>
            <w:tcW w:w="3096" w:type="dxa"/>
          </w:tcPr>
          <w:p w14:paraId="7C3647B4" w14:textId="77777777" w:rsidR="00AC62C2" w:rsidRPr="00000D1B" w:rsidRDefault="00AC62C2" w:rsidP="00E4241D">
            <w:pPr>
              <w:rPr>
                <w:bCs/>
                <w:lang w:val="sr-Cyrl-RS"/>
              </w:rPr>
            </w:pPr>
            <w:r w:rsidRPr="00364F69">
              <w:rPr>
                <w:b/>
                <w:bCs/>
                <w:lang w:val="sr-Cyrl-RS"/>
              </w:rPr>
              <w:t>Одговор на питање</w:t>
            </w:r>
            <w:r>
              <w:rPr>
                <w:bCs/>
                <w:lang w:val="sr-Cyrl-RS"/>
              </w:rPr>
              <w:t xml:space="preserve"> је - Да. Циљеви одрживог развоја узимају у обзир приликом израде анализе. Поменуте анализе би требало да укажу на највеће развојне потенцијале и да дају смернице за </w:t>
            </w:r>
            <w:proofErr w:type="spellStart"/>
            <w:r>
              <w:rPr>
                <w:bCs/>
                <w:lang w:val="sr-Cyrl-RS"/>
              </w:rPr>
              <w:t>приоритизацију</w:t>
            </w:r>
            <w:proofErr w:type="spellEnd"/>
            <w:r>
              <w:rPr>
                <w:bCs/>
                <w:lang w:val="sr-Cyrl-RS"/>
              </w:rPr>
              <w:t>.</w:t>
            </w:r>
          </w:p>
        </w:tc>
      </w:tr>
      <w:tr w:rsidR="00AC62C2" w:rsidRPr="00E577A9" w14:paraId="7C41DDBE" w14:textId="77777777" w:rsidTr="00E4241D">
        <w:tc>
          <w:tcPr>
            <w:tcW w:w="1541" w:type="dxa"/>
          </w:tcPr>
          <w:p w14:paraId="763274CB" w14:textId="77777777" w:rsidR="00AC62C2" w:rsidRPr="0015773C" w:rsidRDefault="00AC62C2" w:rsidP="00E4241D">
            <w:pPr>
              <w:jc w:val="center"/>
              <w:rPr>
                <w:bCs/>
                <w:lang w:val="sr-Cyrl-RS"/>
              </w:rPr>
            </w:pPr>
            <w:r>
              <w:rPr>
                <w:bCs/>
                <w:lang w:val="sr-Cyrl-RS"/>
              </w:rPr>
              <w:t>16.</w:t>
            </w:r>
          </w:p>
        </w:tc>
        <w:tc>
          <w:tcPr>
            <w:tcW w:w="1745" w:type="dxa"/>
          </w:tcPr>
          <w:p w14:paraId="08B799C5" w14:textId="77777777" w:rsidR="00AC62C2" w:rsidRDefault="00AC62C2" w:rsidP="00E4241D">
            <w:pPr>
              <w:jc w:val="center"/>
              <w:rPr>
                <w:bCs/>
                <w:lang w:val="sr-Cyrl-RS"/>
              </w:rPr>
            </w:pPr>
            <w:r>
              <w:rPr>
                <w:bCs/>
                <w:lang w:val="sr-Cyrl-RS"/>
              </w:rPr>
              <w:t xml:space="preserve">ЦЕП </w:t>
            </w:r>
          </w:p>
        </w:tc>
        <w:tc>
          <w:tcPr>
            <w:tcW w:w="3247" w:type="dxa"/>
          </w:tcPr>
          <w:p w14:paraId="0692BE29" w14:textId="77777777" w:rsidR="00AC62C2" w:rsidRPr="00B51EF0" w:rsidRDefault="00AC62C2" w:rsidP="00E4241D">
            <w:pPr>
              <w:rPr>
                <w:bCs/>
                <w:lang w:val="sr-Cyrl-RS"/>
              </w:rPr>
            </w:pPr>
            <w:r>
              <w:rPr>
                <w:b/>
                <w:lang w:val="sr-Cyrl-RS"/>
              </w:rPr>
              <w:t xml:space="preserve">Чл. 5. и 6. </w:t>
            </w:r>
            <w:r>
              <w:rPr>
                <w:bCs/>
                <w:lang w:val="sr-Cyrl-RS"/>
              </w:rPr>
              <w:t xml:space="preserve">Предвидети још један корак у изради Плана развоја, одређивање приоритета и то треба да се спроведе по принципу </w:t>
            </w:r>
            <w:r w:rsidRPr="000870D2">
              <w:rPr>
                <w:bCs/>
                <w:i/>
                <w:lang w:val="sr-Latn-RS"/>
              </w:rPr>
              <w:t>top-</w:t>
            </w:r>
            <w:proofErr w:type="spellStart"/>
            <w:r w:rsidRPr="000870D2">
              <w:rPr>
                <w:bCs/>
                <w:i/>
                <w:lang w:val="sr-Latn-RS"/>
              </w:rPr>
              <w:t>down</w:t>
            </w:r>
            <w:proofErr w:type="spellEnd"/>
            <w:r>
              <w:rPr>
                <w:bCs/>
                <w:lang w:val="sr-Latn-RS"/>
              </w:rPr>
              <w:t xml:space="preserve">, </w:t>
            </w:r>
            <w:r>
              <w:rPr>
                <w:bCs/>
                <w:lang w:val="sr-Cyrl-RS"/>
              </w:rPr>
              <w:t>како би се избегао чисто секторски приступ</w:t>
            </w:r>
          </w:p>
        </w:tc>
        <w:tc>
          <w:tcPr>
            <w:tcW w:w="3096" w:type="dxa"/>
          </w:tcPr>
          <w:p w14:paraId="4695E916" w14:textId="77777777" w:rsidR="00AC62C2" w:rsidRDefault="00AC62C2" w:rsidP="00E4241D">
            <w:pPr>
              <w:rPr>
                <w:bCs/>
                <w:lang w:val="sr-Cyrl-RS"/>
              </w:rPr>
            </w:pPr>
            <w:r>
              <w:rPr>
                <w:b/>
                <w:lang w:val="sr-Cyrl-RS"/>
              </w:rPr>
              <w:t>Нису унете измене</w:t>
            </w:r>
            <w:r>
              <w:rPr>
                <w:bCs/>
                <w:lang w:val="sr-Cyrl-RS"/>
              </w:rPr>
              <w:t xml:space="preserve"> – </w:t>
            </w:r>
          </w:p>
          <w:p w14:paraId="001BC1B2" w14:textId="77777777" w:rsidR="00AC62C2" w:rsidRPr="00C210B1" w:rsidRDefault="00AC62C2" w:rsidP="00E4241D">
            <w:pPr>
              <w:rPr>
                <w:bCs/>
                <w:lang w:val="sr-Cyrl-RS"/>
              </w:rPr>
            </w:pPr>
            <w:r w:rsidRPr="00C210B1">
              <w:rPr>
                <w:bCs/>
                <w:lang w:val="sr-Cyrl-RS"/>
              </w:rPr>
              <w:t>Извештај о постојећем стању, садржи</w:t>
            </w:r>
            <w:r>
              <w:rPr>
                <w:bCs/>
                <w:lang w:val="sr-Cyrl-RS"/>
              </w:rPr>
              <w:t>, поред сажетака и анали</w:t>
            </w:r>
            <w:r w:rsidRPr="00C210B1">
              <w:rPr>
                <w:bCs/>
                <w:lang w:val="sr-Cyrl-RS"/>
              </w:rPr>
              <w:t>за спроведених анализа</w:t>
            </w:r>
            <w:r>
              <w:rPr>
                <w:bCs/>
                <w:lang w:val="sr-Cyrl-RS"/>
              </w:rPr>
              <w:t xml:space="preserve">, </w:t>
            </w:r>
            <w:r w:rsidRPr="00C210B1">
              <w:rPr>
                <w:bCs/>
                <w:lang w:val="sr-Cyrl-RS"/>
              </w:rPr>
              <w:t>и саме препоруке за даље правце развоја Републике Србије</w:t>
            </w:r>
            <w:r>
              <w:rPr>
                <w:bCs/>
                <w:lang w:val="sr-Cyrl-RS"/>
              </w:rPr>
              <w:t>, које нису секторске већ свеобухватне и представљају основ за одређивање приоритета.</w:t>
            </w:r>
          </w:p>
          <w:p w14:paraId="43E26ED4" w14:textId="77777777" w:rsidR="00AC62C2" w:rsidRDefault="00AC62C2" w:rsidP="00E4241D">
            <w:pPr>
              <w:jc w:val="center"/>
              <w:rPr>
                <w:bCs/>
                <w:highlight w:val="yellow"/>
                <w:lang w:val="sr-Cyrl-RS"/>
              </w:rPr>
            </w:pPr>
          </w:p>
          <w:p w14:paraId="60C29873" w14:textId="77777777" w:rsidR="00AC62C2" w:rsidRDefault="00AC62C2" w:rsidP="00E4241D">
            <w:pPr>
              <w:jc w:val="center"/>
              <w:rPr>
                <w:bCs/>
                <w:highlight w:val="yellow"/>
                <w:lang w:val="sr-Cyrl-RS"/>
              </w:rPr>
            </w:pPr>
          </w:p>
          <w:p w14:paraId="245F6F69" w14:textId="77777777" w:rsidR="00AC62C2" w:rsidRPr="00000D1B" w:rsidRDefault="00AC62C2" w:rsidP="00E4241D">
            <w:pPr>
              <w:jc w:val="center"/>
              <w:rPr>
                <w:bCs/>
                <w:lang w:val="sr-Cyrl-RS"/>
              </w:rPr>
            </w:pPr>
            <w:r>
              <w:rPr>
                <w:bCs/>
                <w:lang w:val="sr-Cyrl-RS"/>
              </w:rPr>
              <w:lastRenderedPageBreak/>
              <w:t xml:space="preserve"> </w:t>
            </w:r>
          </w:p>
        </w:tc>
      </w:tr>
      <w:tr w:rsidR="00AC62C2" w:rsidRPr="00C210B1" w14:paraId="410EBB9D" w14:textId="77777777" w:rsidTr="00E4241D">
        <w:tc>
          <w:tcPr>
            <w:tcW w:w="1541" w:type="dxa"/>
          </w:tcPr>
          <w:p w14:paraId="05E4B09F" w14:textId="77777777" w:rsidR="00AC62C2" w:rsidRPr="0015773C" w:rsidRDefault="00AC62C2" w:rsidP="00E4241D">
            <w:pPr>
              <w:jc w:val="center"/>
              <w:rPr>
                <w:bCs/>
                <w:lang w:val="sr-Cyrl-RS"/>
              </w:rPr>
            </w:pPr>
            <w:r>
              <w:rPr>
                <w:bCs/>
                <w:lang w:val="sr-Cyrl-RS"/>
              </w:rPr>
              <w:lastRenderedPageBreak/>
              <w:t>17.</w:t>
            </w:r>
          </w:p>
        </w:tc>
        <w:tc>
          <w:tcPr>
            <w:tcW w:w="1745" w:type="dxa"/>
          </w:tcPr>
          <w:p w14:paraId="31587B23" w14:textId="77777777" w:rsidR="00AC62C2" w:rsidRDefault="00AC62C2" w:rsidP="00E4241D">
            <w:pPr>
              <w:jc w:val="center"/>
              <w:rPr>
                <w:bCs/>
                <w:lang w:val="sr-Cyrl-RS"/>
              </w:rPr>
            </w:pPr>
            <w:r>
              <w:rPr>
                <w:bCs/>
                <w:lang w:val="sr-Cyrl-RS"/>
              </w:rPr>
              <w:t>ЦЕВЕС</w:t>
            </w:r>
          </w:p>
        </w:tc>
        <w:tc>
          <w:tcPr>
            <w:tcW w:w="3247" w:type="dxa"/>
          </w:tcPr>
          <w:p w14:paraId="2A78AA1C" w14:textId="77777777" w:rsidR="00AC62C2" w:rsidRDefault="00AC62C2" w:rsidP="00E4241D">
            <w:pPr>
              <w:rPr>
                <w:b/>
                <w:lang w:val="sr-Cyrl-RS"/>
              </w:rPr>
            </w:pPr>
            <w:r>
              <w:rPr>
                <w:b/>
                <w:lang w:val="sr-Cyrl-RS"/>
              </w:rPr>
              <w:t xml:space="preserve">Чл. 6. </w:t>
            </w:r>
            <w:r w:rsidRPr="00B51EF0">
              <w:rPr>
                <w:bCs/>
                <w:lang w:val="sr-Cyrl-RS"/>
              </w:rPr>
              <w:t>Предвидети</w:t>
            </w:r>
            <w:r>
              <w:rPr>
                <w:b/>
                <w:lang w:val="sr-Cyrl-RS"/>
              </w:rPr>
              <w:t xml:space="preserve"> </w:t>
            </w:r>
            <w:r w:rsidRPr="00B51EF0">
              <w:rPr>
                <w:bCs/>
                <w:lang w:val="sr-Cyrl-RS"/>
              </w:rPr>
              <w:t xml:space="preserve">израду методологије </w:t>
            </w:r>
            <w:r>
              <w:rPr>
                <w:bCs/>
                <w:lang w:val="sr-Cyrl-RS"/>
              </w:rPr>
              <w:t>као посебна корак у изради Плана развоја</w:t>
            </w:r>
            <w:r>
              <w:rPr>
                <w:b/>
                <w:lang w:val="sr-Cyrl-RS"/>
              </w:rPr>
              <w:t xml:space="preserve"> </w:t>
            </w:r>
          </w:p>
        </w:tc>
        <w:tc>
          <w:tcPr>
            <w:tcW w:w="3096" w:type="dxa"/>
          </w:tcPr>
          <w:p w14:paraId="7222B715" w14:textId="77777777" w:rsidR="00AC62C2" w:rsidRDefault="00AC62C2" w:rsidP="00E4241D">
            <w:pPr>
              <w:rPr>
                <w:bCs/>
                <w:lang w:val="sr-Cyrl-RS"/>
              </w:rPr>
            </w:pPr>
            <w:r>
              <w:rPr>
                <w:b/>
                <w:lang w:val="sr-Cyrl-RS"/>
              </w:rPr>
              <w:t>Нису унете измене</w:t>
            </w:r>
            <w:r>
              <w:rPr>
                <w:bCs/>
                <w:lang w:val="sr-Cyrl-RS"/>
              </w:rPr>
              <w:t xml:space="preserve"> – </w:t>
            </w:r>
          </w:p>
          <w:p w14:paraId="38D68256" w14:textId="77777777" w:rsidR="00AC62C2" w:rsidRDefault="00AC62C2" w:rsidP="00E4241D">
            <w:pPr>
              <w:pStyle w:val="NoSpacing"/>
              <w:rPr>
                <w:rFonts w:cs="Times New Roman"/>
                <w:szCs w:val="24"/>
                <w:lang w:val="sr-Cyrl-RS"/>
              </w:rPr>
            </w:pPr>
            <w:r>
              <w:rPr>
                <w:rFonts w:cs="Times New Roman"/>
                <w:szCs w:val="24"/>
                <w:lang w:val="sr-Cyrl-RS"/>
              </w:rPr>
              <w:t>Планирано је да Управљачко тело усвоји оквирну динамику имајући у виду значај Плана развоја и потребу за најширим консултацијама и укључивању свих група грађана. Овом процесу треба оставити довољну флексибилност и не би било добро унапред све нормирати.</w:t>
            </w:r>
          </w:p>
          <w:p w14:paraId="1852F1B0" w14:textId="77777777" w:rsidR="00AC62C2" w:rsidRPr="00000D1B" w:rsidRDefault="00AC62C2" w:rsidP="00E4241D">
            <w:pPr>
              <w:rPr>
                <w:bCs/>
                <w:lang w:val="sr-Cyrl-RS"/>
              </w:rPr>
            </w:pPr>
          </w:p>
        </w:tc>
      </w:tr>
      <w:tr w:rsidR="00AC62C2" w:rsidRPr="00E577A9" w14:paraId="3E154AAA" w14:textId="77777777" w:rsidTr="00E4241D">
        <w:tc>
          <w:tcPr>
            <w:tcW w:w="1541" w:type="dxa"/>
          </w:tcPr>
          <w:p w14:paraId="6D40453B" w14:textId="77777777" w:rsidR="00AC62C2" w:rsidRPr="0015773C" w:rsidRDefault="00AC62C2" w:rsidP="00E4241D">
            <w:pPr>
              <w:jc w:val="center"/>
              <w:rPr>
                <w:bCs/>
                <w:lang w:val="sr-Cyrl-RS"/>
              </w:rPr>
            </w:pPr>
            <w:r>
              <w:rPr>
                <w:bCs/>
                <w:lang w:val="sr-Cyrl-RS"/>
              </w:rPr>
              <w:t>18.</w:t>
            </w:r>
          </w:p>
        </w:tc>
        <w:tc>
          <w:tcPr>
            <w:tcW w:w="1745" w:type="dxa"/>
          </w:tcPr>
          <w:p w14:paraId="55ACE869" w14:textId="77777777" w:rsidR="00AC62C2" w:rsidRDefault="00AC62C2" w:rsidP="00E4241D">
            <w:pPr>
              <w:jc w:val="center"/>
              <w:rPr>
                <w:bCs/>
                <w:lang w:val="sr-Cyrl-RS"/>
              </w:rPr>
            </w:pPr>
            <w:r w:rsidRPr="004F1EE1">
              <w:rPr>
                <w:bCs/>
                <w:lang w:val="sr-Cyrl-RS"/>
              </w:rPr>
              <w:t>БОШ</w:t>
            </w:r>
          </w:p>
        </w:tc>
        <w:tc>
          <w:tcPr>
            <w:tcW w:w="3247" w:type="dxa"/>
          </w:tcPr>
          <w:p w14:paraId="655CE746" w14:textId="77777777" w:rsidR="00AC62C2" w:rsidRDefault="00AC62C2" w:rsidP="00E4241D">
            <w:pPr>
              <w:rPr>
                <w:b/>
                <w:lang w:val="sr-Cyrl-RS"/>
              </w:rPr>
            </w:pPr>
            <w:r>
              <w:rPr>
                <w:b/>
                <w:lang w:val="sr-Cyrl-RS"/>
              </w:rPr>
              <w:t xml:space="preserve">Чл. 6. ст. 1 </w:t>
            </w:r>
            <w:r w:rsidRPr="004B4E8C">
              <w:rPr>
                <w:bCs/>
                <w:lang w:val="sr-Cyrl-RS"/>
              </w:rPr>
              <w:t>Да ли</w:t>
            </w:r>
            <w:r>
              <w:rPr>
                <w:bCs/>
                <w:lang w:val="sr-Cyrl-RS"/>
              </w:rPr>
              <w:t xml:space="preserve"> </w:t>
            </w:r>
            <w:r w:rsidRPr="004B4E8C">
              <w:rPr>
                <w:bCs/>
                <w:lang w:val="sr-Cyrl-RS"/>
              </w:rPr>
              <w:t>је могуће при</w:t>
            </w:r>
            <w:r>
              <w:rPr>
                <w:bCs/>
                <w:lang w:val="sr-Cyrl-RS"/>
              </w:rPr>
              <w:t>п</w:t>
            </w:r>
            <w:r w:rsidRPr="004B4E8C">
              <w:rPr>
                <w:bCs/>
                <w:lang w:val="sr-Cyrl-RS"/>
              </w:rPr>
              <w:t>ремити смернице за израду Плана развоја, аналогно Смерницама за планове развоја ЈЛС?</w:t>
            </w:r>
          </w:p>
        </w:tc>
        <w:tc>
          <w:tcPr>
            <w:tcW w:w="3096" w:type="dxa"/>
          </w:tcPr>
          <w:p w14:paraId="38214E2F" w14:textId="77777777" w:rsidR="00AC62C2" w:rsidRPr="00364F69" w:rsidRDefault="00AC62C2" w:rsidP="00E4241D">
            <w:pPr>
              <w:rPr>
                <w:bCs/>
                <w:lang w:val="sr-Cyrl-RS"/>
              </w:rPr>
            </w:pPr>
            <w:r w:rsidRPr="00364F69">
              <w:rPr>
                <w:b/>
                <w:bCs/>
                <w:lang w:val="sr-Cyrl-RS"/>
              </w:rPr>
              <w:t>Одговор на питање</w:t>
            </w:r>
            <w:r w:rsidRPr="00364F69">
              <w:rPr>
                <w:bCs/>
                <w:lang w:val="sr-Cyrl-RS"/>
              </w:rPr>
              <w:t xml:space="preserve"> је да се може разми</w:t>
            </w:r>
            <w:r>
              <w:rPr>
                <w:bCs/>
                <w:lang w:val="sr-Cyrl-RS"/>
              </w:rPr>
              <w:t>слити о предлогу о чему ће одлуч</w:t>
            </w:r>
            <w:r w:rsidRPr="00364F69">
              <w:rPr>
                <w:bCs/>
                <w:lang w:val="sr-Cyrl-RS"/>
              </w:rPr>
              <w:t xml:space="preserve">ивати Управљачко тело. </w:t>
            </w:r>
          </w:p>
          <w:p w14:paraId="70C12E2C" w14:textId="77777777" w:rsidR="00AC62C2" w:rsidRPr="00000D1B" w:rsidRDefault="00AC62C2" w:rsidP="00E4241D">
            <w:pPr>
              <w:jc w:val="center"/>
              <w:rPr>
                <w:bCs/>
                <w:lang w:val="sr-Cyrl-RS"/>
              </w:rPr>
            </w:pPr>
            <w:r>
              <w:rPr>
                <w:bCs/>
                <w:lang w:val="sr-Cyrl-RS"/>
              </w:rPr>
              <w:t xml:space="preserve"> </w:t>
            </w:r>
          </w:p>
        </w:tc>
      </w:tr>
      <w:tr w:rsidR="00AC62C2" w:rsidRPr="00E577A9" w14:paraId="065A4ED8" w14:textId="77777777" w:rsidTr="00E4241D">
        <w:tc>
          <w:tcPr>
            <w:tcW w:w="1541" w:type="dxa"/>
          </w:tcPr>
          <w:p w14:paraId="51DE3F30" w14:textId="77777777" w:rsidR="00AC62C2" w:rsidRPr="0015773C" w:rsidRDefault="00AC62C2" w:rsidP="00E4241D">
            <w:pPr>
              <w:jc w:val="center"/>
              <w:rPr>
                <w:bCs/>
                <w:lang w:val="sr-Cyrl-RS"/>
              </w:rPr>
            </w:pPr>
            <w:r>
              <w:rPr>
                <w:bCs/>
                <w:lang w:val="sr-Cyrl-RS"/>
              </w:rPr>
              <w:t>19.</w:t>
            </w:r>
          </w:p>
        </w:tc>
        <w:tc>
          <w:tcPr>
            <w:tcW w:w="1745" w:type="dxa"/>
          </w:tcPr>
          <w:p w14:paraId="562AEFB3" w14:textId="77777777" w:rsidR="00AC62C2" w:rsidRDefault="00AC62C2" w:rsidP="00E4241D">
            <w:pPr>
              <w:jc w:val="center"/>
              <w:rPr>
                <w:bCs/>
                <w:lang w:val="sr-Cyrl-RS"/>
              </w:rPr>
            </w:pPr>
            <w:proofErr w:type="spellStart"/>
            <w:r w:rsidRPr="00B64E06">
              <w:rPr>
                <w:color w:val="000000" w:themeColor="text1"/>
                <w:lang w:val="sr-Cyrl-RS"/>
              </w:rPr>
              <w:t>ЕПуС</w:t>
            </w:r>
            <w:proofErr w:type="spellEnd"/>
          </w:p>
        </w:tc>
        <w:tc>
          <w:tcPr>
            <w:tcW w:w="3247" w:type="dxa"/>
          </w:tcPr>
          <w:p w14:paraId="483A8902" w14:textId="77777777" w:rsidR="00AC62C2" w:rsidRPr="006718FB" w:rsidRDefault="00AC62C2" w:rsidP="00E4241D">
            <w:pPr>
              <w:rPr>
                <w:bCs/>
                <w:lang w:val="sr-Cyrl-RS"/>
              </w:rPr>
            </w:pPr>
            <w:r>
              <w:rPr>
                <w:b/>
                <w:lang w:val="sr-Cyrl-RS"/>
              </w:rPr>
              <w:t xml:space="preserve">Чл. 8. ст. 1. </w:t>
            </w:r>
            <w:r>
              <w:rPr>
                <w:bCs/>
                <w:lang w:val="sr-Cyrl-RS"/>
              </w:rPr>
              <w:t>У консултативни процес да се укључе представници дијаспоре и националних мањина</w:t>
            </w:r>
          </w:p>
        </w:tc>
        <w:tc>
          <w:tcPr>
            <w:tcW w:w="3096" w:type="dxa"/>
          </w:tcPr>
          <w:p w14:paraId="08A6E98C" w14:textId="77777777" w:rsidR="00AC62C2" w:rsidRPr="00000D1B" w:rsidRDefault="00AC62C2" w:rsidP="00E4241D">
            <w:pPr>
              <w:rPr>
                <w:bCs/>
                <w:lang w:val="sr-Cyrl-RS"/>
              </w:rPr>
            </w:pPr>
            <w:r w:rsidRPr="00364F69">
              <w:rPr>
                <w:b/>
                <w:bCs/>
                <w:lang w:val="sr-Cyrl-RS"/>
              </w:rPr>
              <w:t>Одговор на питање</w:t>
            </w:r>
            <w:r>
              <w:rPr>
                <w:bCs/>
                <w:lang w:val="sr-Cyrl-RS"/>
              </w:rPr>
              <w:t xml:space="preserve">: Консултативни процес је овим Предлогом уредбе постављен врло широко, а све у циљу да се у сам поступак израде Плана развоја укључи што већи број грађана, институција, организација цивилног друштва, па између осталог, и представници дијаспоре и представници националних мањина. </w:t>
            </w:r>
          </w:p>
        </w:tc>
      </w:tr>
      <w:tr w:rsidR="00AC62C2" w:rsidRPr="00E577A9" w14:paraId="16AA9550" w14:textId="77777777" w:rsidTr="00E4241D">
        <w:tc>
          <w:tcPr>
            <w:tcW w:w="1541" w:type="dxa"/>
          </w:tcPr>
          <w:p w14:paraId="518F63AC" w14:textId="77777777" w:rsidR="00AC62C2" w:rsidRPr="0015773C" w:rsidRDefault="00AC62C2" w:rsidP="00E4241D">
            <w:pPr>
              <w:jc w:val="center"/>
              <w:rPr>
                <w:bCs/>
                <w:lang w:val="sr-Cyrl-RS"/>
              </w:rPr>
            </w:pPr>
            <w:r>
              <w:rPr>
                <w:bCs/>
                <w:lang w:val="sr-Cyrl-RS"/>
              </w:rPr>
              <w:t>20.</w:t>
            </w:r>
          </w:p>
        </w:tc>
        <w:tc>
          <w:tcPr>
            <w:tcW w:w="1745" w:type="dxa"/>
          </w:tcPr>
          <w:p w14:paraId="04EFA7F6" w14:textId="77777777" w:rsidR="00AC62C2" w:rsidRPr="0015773C" w:rsidRDefault="00AC62C2" w:rsidP="00E4241D">
            <w:pPr>
              <w:jc w:val="center"/>
              <w:rPr>
                <w:bCs/>
                <w:lang w:val="sr-Cyrl-RS"/>
              </w:rPr>
            </w:pPr>
            <w:r>
              <w:rPr>
                <w:bCs/>
                <w:lang w:val="sr-Cyrl-RS"/>
              </w:rPr>
              <w:t>ЦЕП</w:t>
            </w:r>
            <w:r w:rsidRPr="00C210B1">
              <w:rPr>
                <w:bCs/>
                <w:color w:val="000000" w:themeColor="text1"/>
                <w:lang w:val="sr-Cyrl-RS"/>
              </w:rPr>
              <w:t>/</w:t>
            </w:r>
            <w:r w:rsidRPr="00C210B1">
              <w:rPr>
                <w:color w:val="000000" w:themeColor="text1"/>
                <w:lang w:val="sr-Latn-RS"/>
              </w:rPr>
              <w:t xml:space="preserve"> </w:t>
            </w:r>
            <w:r w:rsidRPr="00C210B1">
              <w:rPr>
                <w:color w:val="000000" w:themeColor="text1"/>
                <w:lang w:val="sr-Cyrl-RS"/>
              </w:rPr>
              <w:t>ЈУКОМ</w:t>
            </w:r>
          </w:p>
        </w:tc>
        <w:tc>
          <w:tcPr>
            <w:tcW w:w="3247" w:type="dxa"/>
          </w:tcPr>
          <w:p w14:paraId="790B401C" w14:textId="77777777" w:rsidR="00AC62C2" w:rsidRPr="0051163D" w:rsidRDefault="00AC62C2" w:rsidP="00E4241D">
            <w:pPr>
              <w:rPr>
                <w:bCs/>
                <w:lang w:val="sr-Cyrl-RS"/>
              </w:rPr>
            </w:pPr>
            <w:r>
              <w:rPr>
                <w:b/>
                <w:lang w:val="sr-Cyrl-RS"/>
              </w:rPr>
              <w:t xml:space="preserve">Чл. 8. </w:t>
            </w:r>
            <w:r w:rsidRPr="00B51EF0">
              <w:rPr>
                <w:bCs/>
                <w:lang w:val="sr-Cyrl-RS"/>
              </w:rPr>
              <w:t>Уредити детаљније</w:t>
            </w:r>
            <w:r>
              <w:rPr>
                <w:bCs/>
                <w:lang w:val="sr-Cyrl-RS"/>
              </w:rPr>
              <w:t xml:space="preserve"> начин спровођења консултативног процеса, како би се обезбедио квалитетан процес и у </w:t>
            </w:r>
            <w:r>
              <w:rPr>
                <w:bCs/>
                <w:lang w:val="sr-Cyrl-RS"/>
              </w:rPr>
              <w:lastRenderedPageBreak/>
              <w:t>следећем циклусу израде Плана развоја/ да се предвиде различити начини консултација и други канали за достављање коментара, с обзиром да се Портал е-Консултације мало користити</w:t>
            </w:r>
          </w:p>
        </w:tc>
        <w:tc>
          <w:tcPr>
            <w:tcW w:w="3096" w:type="dxa"/>
          </w:tcPr>
          <w:p w14:paraId="3FA777C5" w14:textId="77777777" w:rsidR="00AC62C2" w:rsidRPr="00000D1B" w:rsidRDefault="00AC62C2" w:rsidP="00E4241D">
            <w:pPr>
              <w:rPr>
                <w:bCs/>
                <w:lang w:val="sr-Cyrl-RS"/>
              </w:rPr>
            </w:pPr>
            <w:r>
              <w:rPr>
                <w:b/>
                <w:lang w:val="sr-Cyrl-RS"/>
              </w:rPr>
              <w:lastRenderedPageBreak/>
              <w:t>Нису унете измене</w:t>
            </w:r>
            <w:r>
              <w:rPr>
                <w:bCs/>
                <w:lang w:val="sr-Cyrl-RS"/>
              </w:rPr>
              <w:t xml:space="preserve"> - Сам процес консултација, као и методи консултација већ су уређени позитивним прописима Републике </w:t>
            </w:r>
            <w:r>
              <w:rPr>
                <w:bCs/>
                <w:lang w:val="sr-Cyrl-RS"/>
              </w:rPr>
              <w:lastRenderedPageBreak/>
              <w:t xml:space="preserve">Србије,  и то Уредбом о методологији управљања јавним политикама, анализи ефеката јавних политика и прописа и садржаја појединачних докумената јавних политика („Службени гласник РС“, број 8/19), као и  Правилником о смерницама добре праксе за остваривање учешћа јавности у припреми Нацрта закона и других прописа и аката („Службени гласник </w:t>
            </w:r>
            <w:proofErr w:type="spellStart"/>
            <w:r>
              <w:rPr>
                <w:bCs/>
                <w:lang w:val="sr-Cyrl-RS"/>
              </w:rPr>
              <w:t>РС</w:t>
            </w:r>
            <w:r>
              <w:rPr>
                <w:rFonts w:cs="Times New Roman"/>
                <w:bCs/>
                <w:lang w:val="sr-Cyrl-RS"/>
              </w:rPr>
              <w:t>ˮ</w:t>
            </w:r>
            <w:proofErr w:type="spellEnd"/>
            <w:r>
              <w:rPr>
                <w:bCs/>
                <w:lang w:val="sr-Cyrl-RS"/>
              </w:rPr>
              <w:t xml:space="preserve">, број 51/19). Портал е-Консултације, није метод спровођења консултација,  већ има за циљ да јавности омогући учешће у процесу припреме и усвајања докумената јавних политика, на јединствен и равноправан начин, електронским путем. На наведеном порталу, надлежни државни органи су у обавези да, благовремено и у потпуности објаве све релевантне информације о консултацијама и јавним расправама  које спроводе у оквиру своје надлежности. Поред тога, све позиве, информације и документа која су предмет консултација надлежни органи објављују и на својој интернет страници и </w:t>
            </w:r>
            <w:r>
              <w:rPr>
                <w:bCs/>
                <w:lang w:val="sr-Cyrl-RS"/>
              </w:rPr>
              <w:lastRenderedPageBreak/>
              <w:t xml:space="preserve">на страници сваког органа који спроводи консултације за област коју координира. На овај начин је дата могућност да се што већи број грађана укључи у сам процес израде докумената, а како је План развоја документ који се тиче свих грађана Републике Србије, врло је важно да буду упознати и да имају могућност да се укључе у израду истог. </w:t>
            </w:r>
          </w:p>
        </w:tc>
      </w:tr>
      <w:tr w:rsidR="00AC62C2" w:rsidRPr="00E577A9" w14:paraId="667591E6" w14:textId="77777777" w:rsidTr="00E4241D">
        <w:tc>
          <w:tcPr>
            <w:tcW w:w="1541" w:type="dxa"/>
          </w:tcPr>
          <w:p w14:paraId="292EE240" w14:textId="77777777" w:rsidR="00AC62C2" w:rsidRPr="0020682F" w:rsidRDefault="00AC62C2" w:rsidP="00E4241D">
            <w:pPr>
              <w:jc w:val="center"/>
              <w:rPr>
                <w:bCs/>
                <w:lang w:val="sr-Cyrl-RS"/>
              </w:rPr>
            </w:pPr>
            <w:r w:rsidRPr="0020682F">
              <w:rPr>
                <w:bCs/>
                <w:lang w:val="sr-Cyrl-RS"/>
              </w:rPr>
              <w:lastRenderedPageBreak/>
              <w:t>21.</w:t>
            </w:r>
          </w:p>
        </w:tc>
        <w:tc>
          <w:tcPr>
            <w:tcW w:w="1745" w:type="dxa"/>
          </w:tcPr>
          <w:p w14:paraId="06AA6FF8" w14:textId="77777777" w:rsidR="00AC62C2" w:rsidRPr="0051163D" w:rsidRDefault="00AC62C2" w:rsidP="00E4241D">
            <w:pPr>
              <w:jc w:val="center"/>
              <w:rPr>
                <w:bCs/>
                <w:lang w:val="sr-Cyrl-RS"/>
              </w:rPr>
            </w:pPr>
            <w:r>
              <w:rPr>
                <w:bCs/>
                <w:lang w:val="sr-Cyrl-RS"/>
              </w:rPr>
              <w:t>БОШ</w:t>
            </w:r>
          </w:p>
        </w:tc>
        <w:tc>
          <w:tcPr>
            <w:tcW w:w="3247" w:type="dxa"/>
          </w:tcPr>
          <w:p w14:paraId="539631D8" w14:textId="77777777" w:rsidR="00AC62C2" w:rsidRPr="00270DC5" w:rsidRDefault="00AC62C2" w:rsidP="00E4241D">
            <w:pPr>
              <w:rPr>
                <w:bCs/>
                <w:lang w:val="sr-Cyrl-RS"/>
              </w:rPr>
            </w:pPr>
            <w:proofErr w:type="spellStart"/>
            <w:r w:rsidRPr="0054172C">
              <w:rPr>
                <w:b/>
                <w:lang w:val="sr-Cyrl-RS"/>
              </w:rPr>
              <w:t>Чл</w:t>
            </w:r>
            <w:proofErr w:type="spellEnd"/>
            <w:r w:rsidRPr="0054172C">
              <w:rPr>
                <w:b/>
                <w:lang w:val="sr-Cyrl-RS"/>
              </w:rPr>
              <w:t xml:space="preserve"> 8</w:t>
            </w:r>
            <w:r>
              <w:rPr>
                <w:b/>
                <w:lang w:val="sr-Cyrl-RS"/>
              </w:rPr>
              <w:t>.</w:t>
            </w:r>
            <w:r w:rsidRPr="0054172C">
              <w:rPr>
                <w:b/>
                <w:lang w:val="sr-Cyrl-RS"/>
              </w:rPr>
              <w:t xml:space="preserve"> и 10.</w:t>
            </w:r>
            <w:r>
              <w:rPr>
                <w:bCs/>
                <w:lang w:val="sr-Cyrl-RS"/>
              </w:rPr>
              <w:t xml:space="preserve"> - </w:t>
            </w:r>
            <w:r w:rsidRPr="00270DC5">
              <w:rPr>
                <w:bCs/>
                <w:lang w:val="sr-Cyrl-RS"/>
              </w:rPr>
              <w:t xml:space="preserve">да ли је могуће одредити </w:t>
            </w:r>
            <w:r>
              <w:rPr>
                <w:bCs/>
                <w:lang w:val="sr-Cyrl-RS"/>
              </w:rPr>
              <w:t>рокове за спровођење консултати</w:t>
            </w:r>
            <w:r w:rsidRPr="00270DC5">
              <w:rPr>
                <w:bCs/>
                <w:lang w:val="sr-Cyrl-RS"/>
              </w:rPr>
              <w:t>в</w:t>
            </w:r>
            <w:r>
              <w:rPr>
                <w:bCs/>
                <w:lang w:val="sr-Cyrl-RS"/>
              </w:rPr>
              <w:t>н</w:t>
            </w:r>
            <w:r w:rsidRPr="00270DC5">
              <w:rPr>
                <w:bCs/>
                <w:lang w:val="sr-Cyrl-RS"/>
              </w:rPr>
              <w:t>ог процеса</w:t>
            </w:r>
            <w:r>
              <w:rPr>
                <w:bCs/>
                <w:lang w:val="sr-Cyrl-RS"/>
              </w:rPr>
              <w:t xml:space="preserve"> и јавне расправе</w:t>
            </w:r>
            <w:r w:rsidRPr="00270DC5">
              <w:rPr>
                <w:bCs/>
                <w:lang w:val="sr-Cyrl-RS"/>
              </w:rPr>
              <w:t>, како не би дошли у ситуацију да се поштују само мини</w:t>
            </w:r>
            <w:r>
              <w:rPr>
                <w:bCs/>
                <w:lang w:val="sr-Cyrl-RS"/>
              </w:rPr>
              <w:t>м</w:t>
            </w:r>
            <w:r w:rsidRPr="00270DC5">
              <w:rPr>
                <w:bCs/>
                <w:lang w:val="sr-Cyrl-RS"/>
              </w:rPr>
              <w:t>а</w:t>
            </w:r>
            <w:r>
              <w:rPr>
                <w:bCs/>
                <w:lang w:val="sr-Cyrl-RS"/>
              </w:rPr>
              <w:t>л</w:t>
            </w:r>
            <w:r w:rsidRPr="00270DC5">
              <w:rPr>
                <w:bCs/>
                <w:lang w:val="sr-Cyrl-RS"/>
              </w:rPr>
              <w:t>но прописани рокови</w:t>
            </w:r>
          </w:p>
        </w:tc>
        <w:tc>
          <w:tcPr>
            <w:tcW w:w="3096" w:type="dxa"/>
          </w:tcPr>
          <w:p w14:paraId="44030083" w14:textId="77777777" w:rsidR="00AC62C2" w:rsidRDefault="00AC62C2" w:rsidP="00E4241D">
            <w:pPr>
              <w:pStyle w:val="NoSpacing"/>
              <w:rPr>
                <w:rFonts w:cs="Times New Roman"/>
                <w:szCs w:val="24"/>
                <w:lang w:val="sr-Cyrl-RS"/>
              </w:rPr>
            </w:pPr>
            <w:r>
              <w:rPr>
                <w:b/>
                <w:lang w:val="sr-Cyrl-RS"/>
              </w:rPr>
              <w:t>Нису унете измене</w:t>
            </w:r>
            <w:r>
              <w:rPr>
                <w:bCs/>
                <w:lang w:val="sr-Cyrl-RS"/>
              </w:rPr>
              <w:t xml:space="preserve"> -</w:t>
            </w:r>
            <w:r>
              <w:rPr>
                <w:rFonts w:cs="Times New Roman"/>
                <w:szCs w:val="24"/>
                <w:lang w:val="sr-Cyrl-RS"/>
              </w:rPr>
              <w:t xml:space="preserve"> Консултативни процес би требао да траје онолико колико је потребно да би се припремио квалитетан документ. Планирано је да Управљачко тело усвоји оквирну динамику имајући у виду значај Плана развоја и потребу за најширим консултацијама и укључивању свих група грађана. РСЈП, који је надлежан за спровођење </w:t>
            </w:r>
            <w:proofErr w:type="spellStart"/>
            <w:r>
              <w:rPr>
                <w:rFonts w:cs="Times New Roman"/>
                <w:szCs w:val="24"/>
                <w:lang w:val="sr-Cyrl-RS"/>
              </w:rPr>
              <w:t>ЗоПС</w:t>
            </w:r>
            <w:proofErr w:type="spellEnd"/>
            <w:r>
              <w:rPr>
                <w:rFonts w:cs="Times New Roman"/>
                <w:szCs w:val="24"/>
                <w:lang w:val="sr-Cyrl-RS"/>
              </w:rPr>
              <w:t xml:space="preserve">-а се залаже за транспарентност и </w:t>
            </w:r>
            <w:proofErr w:type="spellStart"/>
            <w:r>
              <w:rPr>
                <w:rFonts w:cs="Times New Roman"/>
                <w:szCs w:val="24"/>
                <w:lang w:val="sr-Cyrl-RS"/>
              </w:rPr>
              <w:t>партиципативност</w:t>
            </w:r>
            <w:proofErr w:type="spellEnd"/>
            <w:r>
              <w:rPr>
                <w:rFonts w:cs="Times New Roman"/>
                <w:szCs w:val="24"/>
                <w:lang w:val="sr-Cyrl-RS"/>
              </w:rPr>
              <w:t>, посебно што План развоја треба да буде власништво свих грађана. Овом процесу треба оставити довољну флексибилност и не би било добро унапред све нормирати.</w:t>
            </w:r>
          </w:p>
          <w:p w14:paraId="423781A6" w14:textId="77777777" w:rsidR="00AC62C2" w:rsidRPr="0054172C" w:rsidRDefault="00AC62C2" w:rsidP="00E4241D">
            <w:pPr>
              <w:rPr>
                <w:bCs/>
                <w:lang w:val="sr-Cyrl-RS"/>
              </w:rPr>
            </w:pPr>
          </w:p>
        </w:tc>
      </w:tr>
      <w:tr w:rsidR="00AC62C2" w:rsidRPr="00E577A9" w14:paraId="6F3623D3" w14:textId="77777777" w:rsidTr="00E4241D">
        <w:tc>
          <w:tcPr>
            <w:tcW w:w="1541" w:type="dxa"/>
          </w:tcPr>
          <w:p w14:paraId="476B012A" w14:textId="77777777" w:rsidR="00AC62C2" w:rsidRPr="0020682F" w:rsidRDefault="00AC62C2" w:rsidP="00E4241D">
            <w:pPr>
              <w:jc w:val="center"/>
              <w:rPr>
                <w:bCs/>
                <w:lang w:val="sr-Cyrl-RS"/>
              </w:rPr>
            </w:pPr>
            <w:r w:rsidRPr="0020682F">
              <w:rPr>
                <w:bCs/>
                <w:lang w:val="sr-Cyrl-RS"/>
              </w:rPr>
              <w:t>22.</w:t>
            </w:r>
          </w:p>
        </w:tc>
        <w:tc>
          <w:tcPr>
            <w:tcW w:w="1745" w:type="dxa"/>
          </w:tcPr>
          <w:p w14:paraId="6F189593" w14:textId="77777777" w:rsidR="00AC62C2" w:rsidRPr="005C5556" w:rsidRDefault="00AC62C2" w:rsidP="00E4241D">
            <w:pPr>
              <w:jc w:val="center"/>
              <w:rPr>
                <w:bCs/>
                <w:lang w:val="sr-Cyrl-RS"/>
              </w:rPr>
            </w:pPr>
            <w:r w:rsidRPr="005C5556">
              <w:rPr>
                <w:bCs/>
                <w:lang w:val="sr-Cyrl-RS"/>
              </w:rPr>
              <w:t>ЦЕКОР</w:t>
            </w:r>
          </w:p>
        </w:tc>
        <w:tc>
          <w:tcPr>
            <w:tcW w:w="3247" w:type="dxa"/>
          </w:tcPr>
          <w:p w14:paraId="1D2F2922" w14:textId="77777777" w:rsidR="00AC62C2" w:rsidRPr="005C5556" w:rsidRDefault="00AC62C2" w:rsidP="00E4241D">
            <w:pPr>
              <w:rPr>
                <w:bCs/>
                <w:lang w:val="sr-Cyrl-RS"/>
              </w:rPr>
            </w:pPr>
            <w:r w:rsidRPr="005C5556">
              <w:rPr>
                <w:bCs/>
                <w:lang w:val="sr-Cyrl-RS"/>
              </w:rPr>
              <w:t xml:space="preserve">Чл. 10. ст. 2. </w:t>
            </w:r>
            <w:r>
              <w:rPr>
                <w:bCs/>
                <w:lang w:val="sr-Cyrl-RS"/>
              </w:rPr>
              <w:t>д</w:t>
            </w:r>
            <w:r w:rsidRPr="005C5556">
              <w:rPr>
                <w:bCs/>
                <w:lang w:val="sr-Cyrl-RS"/>
              </w:rPr>
              <w:t xml:space="preserve">а се предвиде две јавне расправе на Нацрт плана развоја, један да се заинтересоване стране </w:t>
            </w:r>
            <w:r w:rsidRPr="005C5556">
              <w:rPr>
                <w:bCs/>
                <w:lang w:val="sr-Cyrl-RS"/>
              </w:rPr>
              <w:lastRenderedPageBreak/>
              <w:t>упознају са Нацртом, а друга за достављање коментара, како би било довољно времена за квалитетну расправу</w:t>
            </w:r>
          </w:p>
        </w:tc>
        <w:tc>
          <w:tcPr>
            <w:tcW w:w="3096" w:type="dxa"/>
          </w:tcPr>
          <w:p w14:paraId="3549B33A" w14:textId="77777777" w:rsidR="00AC62C2" w:rsidRDefault="00AC62C2" w:rsidP="00E4241D">
            <w:pPr>
              <w:rPr>
                <w:lang w:val="ru-RU"/>
              </w:rPr>
            </w:pPr>
            <w:r>
              <w:rPr>
                <w:b/>
                <w:lang w:val="sr-Cyrl-RS"/>
              </w:rPr>
              <w:lastRenderedPageBreak/>
              <w:t>Нису унете измене</w:t>
            </w:r>
            <w:r>
              <w:rPr>
                <w:bCs/>
                <w:lang w:val="sr-Cyrl-RS"/>
              </w:rPr>
              <w:t xml:space="preserve"> – Јавна расправа је фаза поступка израде документа која се </w:t>
            </w:r>
            <w:r w:rsidRPr="00197CED">
              <w:rPr>
                <w:rFonts w:eastAsia="Times New Roman" w:cs="Times New Roman"/>
                <w:szCs w:val="24"/>
                <w:lang w:val="sr-Cyrl-RS"/>
              </w:rPr>
              <w:t xml:space="preserve">спроводи непосредно пре </w:t>
            </w:r>
            <w:r w:rsidRPr="00197CED">
              <w:rPr>
                <w:rFonts w:eastAsia="Times New Roman" w:cs="Times New Roman"/>
                <w:szCs w:val="24"/>
                <w:lang w:val="sr-Cyrl-RS"/>
              </w:rPr>
              <w:lastRenderedPageBreak/>
              <w:t xml:space="preserve">усвајања </w:t>
            </w:r>
            <w:r>
              <w:rPr>
                <w:rFonts w:eastAsia="Times New Roman" w:cs="Times New Roman"/>
                <w:szCs w:val="24"/>
                <w:lang w:val="sr-Cyrl-RS"/>
              </w:rPr>
              <w:t>документа на Влади</w:t>
            </w:r>
            <w:r w:rsidRPr="00197CED">
              <w:rPr>
                <w:rFonts w:eastAsia="Times New Roman" w:cs="Times New Roman"/>
                <w:szCs w:val="24"/>
                <w:lang w:val="sr-Cyrl-RS"/>
              </w:rPr>
              <w:t xml:space="preserve">, а циљ је да се целокупна јавност упозна са финалном верзијом </w:t>
            </w:r>
            <w:r>
              <w:rPr>
                <w:rFonts w:eastAsia="Times New Roman" w:cs="Times New Roman"/>
                <w:szCs w:val="24"/>
                <w:lang w:val="sr-Cyrl-RS"/>
              </w:rPr>
              <w:t xml:space="preserve">поменутог документа. Сам поступак је уређен Пословником Владе, као и минимални рок за спровођење јавне расправе. </w:t>
            </w:r>
            <w:r w:rsidRPr="00197CED">
              <w:rPr>
                <w:rFonts w:eastAsia="Times New Roman" w:cs="Times New Roman"/>
                <w:szCs w:val="24"/>
                <w:lang w:val="sr-Cyrl-RS"/>
              </w:rPr>
              <w:t>Са друге стр</w:t>
            </w:r>
            <w:r>
              <w:rPr>
                <w:rFonts w:eastAsia="Times New Roman" w:cs="Times New Roman"/>
                <w:szCs w:val="24"/>
                <w:lang w:val="sr-Cyrl-RS"/>
              </w:rPr>
              <w:t>а</w:t>
            </w:r>
            <w:r w:rsidRPr="00197CED">
              <w:rPr>
                <w:rFonts w:eastAsia="Times New Roman" w:cs="Times New Roman"/>
                <w:szCs w:val="24"/>
                <w:lang w:val="sr-Cyrl-RS"/>
              </w:rPr>
              <w:t xml:space="preserve">не, консултације се </w:t>
            </w:r>
            <w:proofErr w:type="spellStart"/>
            <w:r w:rsidRPr="005208C2">
              <w:rPr>
                <w:lang w:val="ru-RU"/>
              </w:rPr>
              <w:t>спроводе</w:t>
            </w:r>
            <w:proofErr w:type="spellEnd"/>
            <w:r w:rsidRPr="005208C2">
              <w:rPr>
                <w:lang w:val="ru-RU"/>
              </w:rPr>
              <w:t xml:space="preserve"> током </w:t>
            </w:r>
            <w:proofErr w:type="spellStart"/>
            <w:r w:rsidRPr="005208C2">
              <w:rPr>
                <w:lang w:val="ru-RU"/>
              </w:rPr>
              <w:t>израде</w:t>
            </w:r>
            <w:proofErr w:type="spellEnd"/>
            <w:r w:rsidRPr="005208C2">
              <w:rPr>
                <w:lang w:val="ru-RU"/>
              </w:rPr>
              <w:t xml:space="preserve"> </w:t>
            </w:r>
            <w:proofErr w:type="spellStart"/>
            <w:r>
              <w:rPr>
                <w:lang w:val="ru-RU"/>
              </w:rPr>
              <w:t>нацрта</w:t>
            </w:r>
            <w:proofErr w:type="spellEnd"/>
            <w:r>
              <w:rPr>
                <w:lang w:val="ru-RU"/>
              </w:rPr>
              <w:t xml:space="preserve"> документа</w:t>
            </w:r>
            <w:r w:rsidRPr="005208C2">
              <w:rPr>
                <w:lang w:val="ru-RU"/>
              </w:rPr>
              <w:t xml:space="preserve">, а </w:t>
            </w:r>
            <w:proofErr w:type="spellStart"/>
            <w:r w:rsidRPr="005208C2">
              <w:rPr>
                <w:lang w:val="ru-RU"/>
              </w:rPr>
              <w:t>њихова</w:t>
            </w:r>
            <w:proofErr w:type="spellEnd"/>
            <w:r w:rsidRPr="005208C2">
              <w:rPr>
                <w:lang w:val="ru-RU"/>
              </w:rPr>
              <w:t xml:space="preserve"> </w:t>
            </w:r>
            <w:proofErr w:type="spellStart"/>
            <w:r w:rsidRPr="005208C2">
              <w:rPr>
                <w:lang w:val="ru-RU"/>
              </w:rPr>
              <w:t>сврха</w:t>
            </w:r>
            <w:proofErr w:type="spellEnd"/>
            <w:r w:rsidRPr="005208C2">
              <w:rPr>
                <w:lang w:val="ru-RU"/>
              </w:rPr>
              <w:t xml:space="preserve"> </w:t>
            </w:r>
            <w:proofErr w:type="spellStart"/>
            <w:r w:rsidRPr="005208C2">
              <w:rPr>
                <w:lang w:val="ru-RU"/>
              </w:rPr>
              <w:t>је</w:t>
            </w:r>
            <w:proofErr w:type="spellEnd"/>
            <w:r w:rsidRPr="005208C2">
              <w:rPr>
                <w:lang w:val="ru-RU"/>
              </w:rPr>
              <w:t xml:space="preserve"> да се од </w:t>
            </w:r>
            <w:proofErr w:type="spellStart"/>
            <w:r w:rsidRPr="005208C2">
              <w:rPr>
                <w:lang w:val="ru-RU"/>
              </w:rPr>
              <w:t>заинтересованих</w:t>
            </w:r>
            <w:proofErr w:type="spellEnd"/>
            <w:r w:rsidRPr="005208C2">
              <w:rPr>
                <w:lang w:val="ru-RU"/>
              </w:rPr>
              <w:t xml:space="preserve"> страна и </w:t>
            </w:r>
            <w:proofErr w:type="spellStart"/>
            <w:r w:rsidRPr="005208C2">
              <w:rPr>
                <w:lang w:val="ru-RU"/>
              </w:rPr>
              <w:t>циљних</w:t>
            </w:r>
            <w:proofErr w:type="spellEnd"/>
            <w:r w:rsidRPr="005208C2">
              <w:rPr>
                <w:lang w:val="ru-RU"/>
              </w:rPr>
              <w:t xml:space="preserve"> </w:t>
            </w:r>
            <w:proofErr w:type="spellStart"/>
            <w:r w:rsidRPr="005208C2">
              <w:rPr>
                <w:lang w:val="ru-RU"/>
              </w:rPr>
              <w:t>група</w:t>
            </w:r>
            <w:proofErr w:type="spellEnd"/>
            <w:r w:rsidRPr="005208C2">
              <w:rPr>
                <w:lang w:val="ru-RU"/>
              </w:rPr>
              <w:t xml:space="preserve"> прикупе </w:t>
            </w:r>
            <w:proofErr w:type="spellStart"/>
            <w:r w:rsidRPr="005208C2">
              <w:rPr>
                <w:lang w:val="ru-RU"/>
              </w:rPr>
              <w:t>подаци</w:t>
            </w:r>
            <w:proofErr w:type="spellEnd"/>
            <w:r w:rsidRPr="005208C2">
              <w:rPr>
                <w:lang w:val="ru-RU"/>
              </w:rPr>
              <w:t xml:space="preserve"> </w:t>
            </w:r>
            <w:proofErr w:type="spellStart"/>
            <w:r w:rsidRPr="005208C2">
              <w:rPr>
                <w:lang w:val="ru-RU"/>
              </w:rPr>
              <w:t>неопходни</w:t>
            </w:r>
            <w:proofErr w:type="spellEnd"/>
            <w:r w:rsidRPr="005208C2">
              <w:rPr>
                <w:lang w:val="ru-RU"/>
              </w:rPr>
              <w:t xml:space="preserve"> за </w:t>
            </w:r>
            <w:proofErr w:type="spellStart"/>
            <w:r w:rsidRPr="005208C2">
              <w:rPr>
                <w:lang w:val="ru-RU"/>
              </w:rPr>
              <w:t>спровођење</w:t>
            </w:r>
            <w:proofErr w:type="spellEnd"/>
            <w:r w:rsidRPr="005208C2">
              <w:rPr>
                <w:lang w:val="ru-RU"/>
              </w:rPr>
              <w:t xml:space="preserve"> анализе</w:t>
            </w:r>
            <w:r>
              <w:rPr>
                <w:lang w:val="ru-RU"/>
              </w:rPr>
              <w:t xml:space="preserve">, </w:t>
            </w:r>
            <w:r w:rsidRPr="005208C2">
              <w:rPr>
                <w:lang w:val="ru-RU"/>
              </w:rPr>
              <w:t xml:space="preserve">у </w:t>
            </w:r>
            <w:proofErr w:type="spellStart"/>
            <w:r w:rsidRPr="005208C2">
              <w:rPr>
                <w:lang w:val="ru-RU"/>
              </w:rPr>
              <w:t>циљу</w:t>
            </w:r>
            <w:proofErr w:type="spellEnd"/>
            <w:r w:rsidRPr="005208C2">
              <w:rPr>
                <w:lang w:val="ru-RU"/>
              </w:rPr>
              <w:t xml:space="preserve"> </w:t>
            </w:r>
            <w:proofErr w:type="spellStart"/>
            <w:r w:rsidRPr="005208C2">
              <w:rPr>
                <w:lang w:val="ru-RU"/>
              </w:rPr>
              <w:t>дефинисања</w:t>
            </w:r>
            <w:proofErr w:type="spellEnd"/>
            <w:r w:rsidRPr="005208C2">
              <w:rPr>
                <w:lang w:val="ru-RU"/>
              </w:rPr>
              <w:t xml:space="preserve"> </w:t>
            </w:r>
            <w:proofErr w:type="spellStart"/>
            <w:r w:rsidRPr="005208C2">
              <w:rPr>
                <w:lang w:val="ru-RU"/>
              </w:rPr>
              <w:t>оптималних</w:t>
            </w:r>
            <w:proofErr w:type="spellEnd"/>
            <w:r w:rsidRPr="005208C2">
              <w:rPr>
                <w:lang w:val="ru-RU"/>
              </w:rPr>
              <w:t xml:space="preserve"> </w:t>
            </w:r>
            <w:proofErr w:type="spellStart"/>
            <w:r w:rsidRPr="005208C2">
              <w:rPr>
                <w:lang w:val="ru-RU"/>
              </w:rPr>
              <w:t>решења</w:t>
            </w:r>
            <w:proofErr w:type="spellEnd"/>
            <w:r>
              <w:rPr>
                <w:lang w:val="ru-RU"/>
              </w:rPr>
              <w:t xml:space="preserve">. </w:t>
            </w:r>
          </w:p>
          <w:p w14:paraId="676D828C" w14:textId="77777777" w:rsidR="00AC62C2" w:rsidRPr="006F6A69" w:rsidRDefault="00AC62C2" w:rsidP="00E4241D">
            <w:pPr>
              <w:rPr>
                <w:lang w:val="sr-Latn-RS"/>
              </w:rPr>
            </w:pPr>
            <w:r>
              <w:rPr>
                <w:bCs/>
                <w:lang w:val="ru-RU"/>
              </w:rPr>
              <w:t xml:space="preserve">С </w:t>
            </w:r>
            <w:proofErr w:type="spellStart"/>
            <w:r>
              <w:rPr>
                <w:bCs/>
                <w:lang w:val="ru-RU"/>
              </w:rPr>
              <w:t>обзиром</w:t>
            </w:r>
            <w:proofErr w:type="spellEnd"/>
            <w:r>
              <w:rPr>
                <w:bCs/>
                <w:lang w:val="ru-RU"/>
              </w:rPr>
              <w:t xml:space="preserve"> на горе </w:t>
            </w:r>
            <w:proofErr w:type="spellStart"/>
            <w:r>
              <w:rPr>
                <w:bCs/>
                <w:lang w:val="ru-RU"/>
              </w:rPr>
              <w:t>изнето</w:t>
            </w:r>
            <w:proofErr w:type="spellEnd"/>
            <w:r>
              <w:rPr>
                <w:bCs/>
                <w:lang w:val="ru-RU"/>
              </w:rPr>
              <w:t xml:space="preserve"> и на </w:t>
            </w:r>
            <w:proofErr w:type="spellStart"/>
            <w:r>
              <w:rPr>
                <w:bCs/>
                <w:lang w:val="ru-RU"/>
              </w:rPr>
              <w:t>значај</w:t>
            </w:r>
            <w:proofErr w:type="spellEnd"/>
            <w:r>
              <w:rPr>
                <w:bCs/>
                <w:lang w:val="ru-RU"/>
              </w:rPr>
              <w:t xml:space="preserve"> </w:t>
            </w:r>
            <w:proofErr w:type="spellStart"/>
            <w:r>
              <w:rPr>
                <w:bCs/>
                <w:lang w:val="ru-RU"/>
              </w:rPr>
              <w:t>самог</w:t>
            </w:r>
            <w:proofErr w:type="spellEnd"/>
            <w:r>
              <w:rPr>
                <w:bCs/>
                <w:lang w:val="ru-RU"/>
              </w:rPr>
              <w:t xml:space="preserve"> документа, </w:t>
            </w:r>
            <w:proofErr w:type="spellStart"/>
            <w:r>
              <w:rPr>
                <w:bCs/>
                <w:lang w:val="ru-RU"/>
              </w:rPr>
              <w:t>јасно</w:t>
            </w:r>
            <w:proofErr w:type="spellEnd"/>
            <w:r>
              <w:rPr>
                <w:bCs/>
                <w:lang w:val="ru-RU"/>
              </w:rPr>
              <w:t xml:space="preserve"> </w:t>
            </w:r>
            <w:proofErr w:type="spellStart"/>
            <w:r>
              <w:rPr>
                <w:bCs/>
                <w:lang w:val="ru-RU"/>
              </w:rPr>
              <w:t>је</w:t>
            </w:r>
            <w:proofErr w:type="spellEnd"/>
            <w:r>
              <w:rPr>
                <w:bCs/>
                <w:lang w:val="ru-RU"/>
              </w:rPr>
              <w:t xml:space="preserve"> да </w:t>
            </w:r>
            <w:proofErr w:type="spellStart"/>
            <w:r>
              <w:rPr>
                <w:bCs/>
                <w:lang w:val="ru-RU"/>
              </w:rPr>
              <w:t>ће</w:t>
            </w:r>
            <w:proofErr w:type="spellEnd"/>
            <w:r>
              <w:rPr>
                <w:bCs/>
                <w:lang w:val="ru-RU"/>
              </w:rPr>
              <w:t xml:space="preserve"> </w:t>
            </w:r>
            <w:proofErr w:type="spellStart"/>
            <w:r>
              <w:rPr>
                <w:bCs/>
                <w:lang w:val="ru-RU"/>
              </w:rPr>
              <w:t>бити</w:t>
            </w:r>
            <w:proofErr w:type="spellEnd"/>
            <w:r>
              <w:rPr>
                <w:bCs/>
                <w:lang w:val="ru-RU"/>
              </w:rPr>
              <w:t xml:space="preserve"> </w:t>
            </w:r>
            <w:proofErr w:type="spellStart"/>
            <w:r>
              <w:rPr>
                <w:bCs/>
                <w:lang w:val="ru-RU"/>
              </w:rPr>
              <w:t>довољно</w:t>
            </w:r>
            <w:proofErr w:type="spellEnd"/>
            <w:r>
              <w:rPr>
                <w:bCs/>
                <w:lang w:val="ru-RU"/>
              </w:rPr>
              <w:t xml:space="preserve"> времена за </w:t>
            </w:r>
            <w:proofErr w:type="spellStart"/>
            <w:r>
              <w:rPr>
                <w:bCs/>
                <w:lang w:val="ru-RU"/>
              </w:rPr>
              <w:t>упућивање</w:t>
            </w:r>
            <w:proofErr w:type="spellEnd"/>
            <w:r>
              <w:rPr>
                <w:bCs/>
                <w:lang w:val="ru-RU"/>
              </w:rPr>
              <w:t xml:space="preserve"> и </w:t>
            </w:r>
            <w:proofErr w:type="spellStart"/>
            <w:r>
              <w:rPr>
                <w:bCs/>
                <w:lang w:val="ru-RU"/>
              </w:rPr>
              <w:t>разматрање</w:t>
            </w:r>
            <w:proofErr w:type="spellEnd"/>
            <w:r>
              <w:rPr>
                <w:bCs/>
                <w:lang w:val="ru-RU"/>
              </w:rPr>
              <w:t xml:space="preserve"> свих </w:t>
            </w:r>
            <w:proofErr w:type="spellStart"/>
            <w:r>
              <w:rPr>
                <w:bCs/>
                <w:lang w:val="ru-RU"/>
              </w:rPr>
              <w:t>коментара</w:t>
            </w:r>
            <w:proofErr w:type="spellEnd"/>
            <w:r>
              <w:rPr>
                <w:bCs/>
                <w:lang w:val="ru-RU"/>
              </w:rPr>
              <w:t xml:space="preserve">, </w:t>
            </w:r>
            <w:proofErr w:type="spellStart"/>
            <w:r>
              <w:rPr>
                <w:bCs/>
                <w:lang w:val="ru-RU"/>
              </w:rPr>
              <w:t>јер</w:t>
            </w:r>
            <w:proofErr w:type="spellEnd"/>
            <w:r>
              <w:rPr>
                <w:bCs/>
                <w:lang w:val="ru-RU"/>
              </w:rPr>
              <w:t xml:space="preserve"> </w:t>
            </w:r>
            <w:proofErr w:type="spellStart"/>
            <w:r>
              <w:rPr>
                <w:bCs/>
                <w:lang w:val="ru-RU"/>
              </w:rPr>
              <w:t>је</w:t>
            </w:r>
            <w:proofErr w:type="spellEnd"/>
            <w:r>
              <w:rPr>
                <w:bCs/>
                <w:lang w:val="ru-RU"/>
              </w:rPr>
              <w:t xml:space="preserve"> </w:t>
            </w:r>
            <w:proofErr w:type="spellStart"/>
            <w:r>
              <w:rPr>
                <w:bCs/>
                <w:lang w:val="ru-RU"/>
              </w:rPr>
              <w:t>свима</w:t>
            </w:r>
            <w:proofErr w:type="spellEnd"/>
            <w:r>
              <w:rPr>
                <w:bCs/>
                <w:lang w:val="ru-RU"/>
              </w:rPr>
              <w:t xml:space="preserve"> у интересу да се </w:t>
            </w:r>
            <w:proofErr w:type="spellStart"/>
            <w:r>
              <w:rPr>
                <w:bCs/>
                <w:lang w:val="ru-RU"/>
              </w:rPr>
              <w:t>донесе</w:t>
            </w:r>
            <w:proofErr w:type="spellEnd"/>
            <w:r>
              <w:rPr>
                <w:bCs/>
                <w:lang w:val="ru-RU"/>
              </w:rPr>
              <w:t xml:space="preserve"> План </w:t>
            </w:r>
            <w:proofErr w:type="spellStart"/>
            <w:r>
              <w:rPr>
                <w:bCs/>
                <w:lang w:val="ru-RU"/>
              </w:rPr>
              <w:t>развоја</w:t>
            </w:r>
            <w:proofErr w:type="spellEnd"/>
            <w:r>
              <w:rPr>
                <w:bCs/>
                <w:lang w:val="ru-RU"/>
              </w:rPr>
              <w:t xml:space="preserve"> </w:t>
            </w:r>
            <w:proofErr w:type="spellStart"/>
            <w:r>
              <w:rPr>
                <w:bCs/>
                <w:lang w:val="ru-RU"/>
              </w:rPr>
              <w:t>који</w:t>
            </w:r>
            <w:proofErr w:type="spellEnd"/>
            <w:r>
              <w:rPr>
                <w:bCs/>
                <w:lang w:val="ru-RU"/>
              </w:rPr>
              <w:t xml:space="preserve"> </w:t>
            </w:r>
            <w:proofErr w:type="spellStart"/>
            <w:r>
              <w:rPr>
                <w:bCs/>
                <w:lang w:val="ru-RU"/>
              </w:rPr>
              <w:t>омогућио</w:t>
            </w:r>
            <w:proofErr w:type="spellEnd"/>
            <w:r>
              <w:rPr>
                <w:bCs/>
                <w:lang w:val="ru-RU"/>
              </w:rPr>
              <w:t xml:space="preserve"> </w:t>
            </w:r>
            <w:proofErr w:type="spellStart"/>
            <w:r>
              <w:rPr>
                <w:bCs/>
                <w:lang w:val="ru-RU"/>
              </w:rPr>
              <w:t>Републици</w:t>
            </w:r>
            <w:proofErr w:type="spellEnd"/>
            <w:r>
              <w:rPr>
                <w:bCs/>
                <w:lang w:val="ru-RU"/>
              </w:rPr>
              <w:t xml:space="preserve"> </w:t>
            </w:r>
            <w:proofErr w:type="spellStart"/>
            <w:r>
              <w:rPr>
                <w:bCs/>
                <w:lang w:val="ru-RU"/>
              </w:rPr>
              <w:t>Србији</w:t>
            </w:r>
            <w:proofErr w:type="spellEnd"/>
            <w:r>
              <w:rPr>
                <w:bCs/>
                <w:lang w:val="ru-RU"/>
              </w:rPr>
              <w:t xml:space="preserve"> </w:t>
            </w:r>
            <w:proofErr w:type="spellStart"/>
            <w:r>
              <w:rPr>
                <w:bCs/>
                <w:lang w:val="ru-RU"/>
              </w:rPr>
              <w:t>бржи</w:t>
            </w:r>
            <w:proofErr w:type="spellEnd"/>
            <w:r>
              <w:rPr>
                <w:bCs/>
                <w:lang w:val="ru-RU"/>
              </w:rPr>
              <w:t xml:space="preserve"> </w:t>
            </w:r>
            <w:proofErr w:type="spellStart"/>
            <w:r>
              <w:rPr>
                <w:bCs/>
                <w:lang w:val="ru-RU"/>
              </w:rPr>
              <w:t>напредак</w:t>
            </w:r>
            <w:proofErr w:type="spellEnd"/>
            <w:r>
              <w:rPr>
                <w:bCs/>
                <w:lang w:val="ru-RU"/>
              </w:rPr>
              <w:t xml:space="preserve">, </w:t>
            </w:r>
            <w:proofErr w:type="spellStart"/>
            <w:r>
              <w:rPr>
                <w:bCs/>
                <w:lang w:val="ru-RU"/>
              </w:rPr>
              <w:t>што</w:t>
            </w:r>
            <w:proofErr w:type="spellEnd"/>
            <w:r>
              <w:rPr>
                <w:bCs/>
                <w:lang w:val="ru-RU"/>
              </w:rPr>
              <w:t xml:space="preserve"> </w:t>
            </w:r>
            <w:proofErr w:type="spellStart"/>
            <w:r>
              <w:rPr>
                <w:bCs/>
                <w:lang w:val="ru-RU"/>
              </w:rPr>
              <w:t>ће</w:t>
            </w:r>
            <w:proofErr w:type="spellEnd"/>
            <w:r>
              <w:rPr>
                <w:bCs/>
                <w:lang w:val="ru-RU"/>
              </w:rPr>
              <w:t xml:space="preserve"> на </w:t>
            </w:r>
            <w:proofErr w:type="spellStart"/>
            <w:r>
              <w:rPr>
                <w:bCs/>
                <w:lang w:val="ru-RU"/>
              </w:rPr>
              <w:t>директан</w:t>
            </w:r>
            <w:proofErr w:type="spellEnd"/>
            <w:r>
              <w:rPr>
                <w:bCs/>
                <w:lang w:val="ru-RU"/>
              </w:rPr>
              <w:t xml:space="preserve"> начин </w:t>
            </w:r>
            <w:proofErr w:type="spellStart"/>
            <w:r>
              <w:rPr>
                <w:bCs/>
                <w:lang w:val="ru-RU"/>
              </w:rPr>
              <w:t>утицати</w:t>
            </w:r>
            <w:proofErr w:type="spellEnd"/>
            <w:r>
              <w:rPr>
                <w:bCs/>
                <w:lang w:val="ru-RU"/>
              </w:rPr>
              <w:t xml:space="preserve"> и на </w:t>
            </w:r>
            <w:proofErr w:type="spellStart"/>
            <w:r>
              <w:rPr>
                <w:bCs/>
                <w:lang w:val="ru-RU"/>
              </w:rPr>
              <w:t>све</w:t>
            </w:r>
            <w:proofErr w:type="spellEnd"/>
            <w:r>
              <w:rPr>
                <w:bCs/>
                <w:lang w:val="ru-RU"/>
              </w:rPr>
              <w:t xml:space="preserve"> </w:t>
            </w:r>
            <w:proofErr w:type="spellStart"/>
            <w:r>
              <w:rPr>
                <w:bCs/>
                <w:lang w:val="ru-RU"/>
              </w:rPr>
              <w:t>грађане</w:t>
            </w:r>
            <w:proofErr w:type="spellEnd"/>
            <w:r>
              <w:rPr>
                <w:bCs/>
                <w:lang w:val="ru-RU"/>
              </w:rPr>
              <w:t xml:space="preserve"> </w:t>
            </w:r>
            <w:proofErr w:type="spellStart"/>
            <w:r>
              <w:rPr>
                <w:bCs/>
                <w:lang w:val="ru-RU"/>
              </w:rPr>
              <w:t>Републике</w:t>
            </w:r>
            <w:proofErr w:type="spellEnd"/>
            <w:r>
              <w:rPr>
                <w:bCs/>
                <w:lang w:val="ru-RU"/>
              </w:rPr>
              <w:t xml:space="preserve"> </w:t>
            </w:r>
            <w:proofErr w:type="spellStart"/>
            <w:r>
              <w:rPr>
                <w:bCs/>
                <w:lang w:val="ru-RU"/>
              </w:rPr>
              <w:t>Србије</w:t>
            </w:r>
            <w:proofErr w:type="spellEnd"/>
            <w:r>
              <w:rPr>
                <w:bCs/>
                <w:lang w:val="ru-RU"/>
              </w:rPr>
              <w:t>.</w:t>
            </w:r>
          </w:p>
        </w:tc>
      </w:tr>
      <w:tr w:rsidR="00AC62C2" w:rsidRPr="00E577A9" w14:paraId="107C866A" w14:textId="77777777" w:rsidTr="00E4241D">
        <w:tc>
          <w:tcPr>
            <w:tcW w:w="1541" w:type="dxa"/>
          </w:tcPr>
          <w:p w14:paraId="0B09563C" w14:textId="77777777" w:rsidR="00AC62C2" w:rsidRPr="0020682F" w:rsidRDefault="00AC62C2" w:rsidP="00E4241D">
            <w:pPr>
              <w:jc w:val="center"/>
              <w:rPr>
                <w:bCs/>
                <w:lang w:val="sr-Cyrl-RS"/>
              </w:rPr>
            </w:pPr>
            <w:r w:rsidRPr="0020682F">
              <w:rPr>
                <w:bCs/>
                <w:lang w:val="sr-Cyrl-RS"/>
              </w:rPr>
              <w:lastRenderedPageBreak/>
              <w:t>23.</w:t>
            </w:r>
          </w:p>
        </w:tc>
        <w:tc>
          <w:tcPr>
            <w:tcW w:w="1745" w:type="dxa"/>
          </w:tcPr>
          <w:p w14:paraId="003DE397" w14:textId="77777777" w:rsidR="00AC62C2" w:rsidRDefault="00AC62C2" w:rsidP="00E4241D">
            <w:pPr>
              <w:jc w:val="center"/>
              <w:rPr>
                <w:bCs/>
                <w:color w:val="FF0000"/>
                <w:lang w:val="sr-Cyrl-RS"/>
              </w:rPr>
            </w:pPr>
            <w:r>
              <w:rPr>
                <w:bCs/>
                <w:lang w:val="sr-Cyrl-RS"/>
              </w:rPr>
              <w:t xml:space="preserve">Представник Платформе „Одрживи развоја за </w:t>
            </w:r>
            <w:proofErr w:type="spellStart"/>
            <w:r>
              <w:rPr>
                <w:bCs/>
                <w:lang w:val="sr-Cyrl-RS"/>
              </w:rPr>
              <w:t>све</w:t>
            </w:r>
            <w:r>
              <w:rPr>
                <w:rFonts w:cs="Times New Roman"/>
                <w:bCs/>
                <w:lang w:val="sr-Cyrl-RS"/>
              </w:rPr>
              <w:t>ˮ</w:t>
            </w:r>
            <w:proofErr w:type="spellEnd"/>
            <w:r>
              <w:rPr>
                <w:bCs/>
                <w:lang w:val="sr-Cyrl-RS"/>
              </w:rPr>
              <w:t>/</w:t>
            </w:r>
            <w:r w:rsidRPr="00885820">
              <w:rPr>
                <w:bCs/>
                <w:lang w:val="sr-Cyrl-RS"/>
              </w:rPr>
              <w:t>БОШ/</w:t>
            </w:r>
            <w:r w:rsidRPr="00C210B1">
              <w:rPr>
                <w:bCs/>
                <w:color w:val="000000" w:themeColor="text1"/>
                <w:lang w:val="sr-Latn-RS"/>
              </w:rPr>
              <w:t xml:space="preserve"> </w:t>
            </w:r>
            <w:proofErr w:type="spellStart"/>
            <w:r w:rsidRPr="00C210B1">
              <w:rPr>
                <w:bCs/>
                <w:color w:val="000000" w:themeColor="text1"/>
                <w:lang w:val="sr-Cyrl-RS"/>
              </w:rPr>
              <w:t>ИнТер</w:t>
            </w:r>
            <w:proofErr w:type="spellEnd"/>
          </w:p>
          <w:p w14:paraId="6150B646" w14:textId="77777777" w:rsidR="00AC62C2" w:rsidRPr="00885820" w:rsidRDefault="00AC62C2" w:rsidP="00E4241D">
            <w:pPr>
              <w:jc w:val="center"/>
              <w:rPr>
                <w:bCs/>
                <w:lang w:val="sr-Cyrl-RS"/>
              </w:rPr>
            </w:pPr>
          </w:p>
        </w:tc>
        <w:tc>
          <w:tcPr>
            <w:tcW w:w="3247" w:type="dxa"/>
          </w:tcPr>
          <w:p w14:paraId="706D91E4" w14:textId="77777777" w:rsidR="00AC62C2" w:rsidRPr="00885820" w:rsidRDefault="00AC62C2" w:rsidP="00E4241D">
            <w:pPr>
              <w:rPr>
                <w:bCs/>
                <w:lang w:val="sr-Cyrl-RS"/>
              </w:rPr>
            </w:pPr>
            <w:r w:rsidRPr="00885820">
              <w:rPr>
                <w:bCs/>
                <w:lang w:val="sr-Cyrl-RS"/>
              </w:rPr>
              <w:t xml:space="preserve">Када се планира израда Инвестиционог плана, </w:t>
            </w:r>
            <w:r>
              <w:rPr>
                <w:bCs/>
                <w:lang w:val="sr-Cyrl-RS"/>
              </w:rPr>
              <w:t>мож</w:t>
            </w:r>
            <w:r w:rsidRPr="00885820">
              <w:rPr>
                <w:bCs/>
                <w:lang w:val="sr-Cyrl-RS"/>
              </w:rPr>
              <w:t>е ли се предвидети упоредна израда са Планом развоја?</w:t>
            </w:r>
          </w:p>
        </w:tc>
        <w:tc>
          <w:tcPr>
            <w:tcW w:w="3096" w:type="dxa"/>
          </w:tcPr>
          <w:p w14:paraId="3682C6B9" w14:textId="77777777" w:rsidR="00AC62C2" w:rsidRPr="00DA678B" w:rsidRDefault="00AC62C2" w:rsidP="00E4241D">
            <w:pPr>
              <w:rPr>
                <w:b/>
                <w:bCs/>
                <w:lang w:val="sr-Cyrl-RS"/>
              </w:rPr>
            </w:pPr>
            <w:proofErr w:type="spellStart"/>
            <w:r w:rsidRPr="00DA678B">
              <w:rPr>
                <w:b/>
                <w:bCs/>
                <w:lang w:val="sr-Cyrl-RS"/>
              </w:rPr>
              <w:t>Одоговор</w:t>
            </w:r>
            <w:proofErr w:type="spellEnd"/>
            <w:r w:rsidRPr="00DA678B">
              <w:rPr>
                <w:b/>
                <w:bCs/>
                <w:lang w:val="sr-Cyrl-RS"/>
              </w:rPr>
              <w:t xml:space="preserve"> на питање</w:t>
            </w:r>
            <w:r>
              <w:rPr>
                <w:b/>
                <w:bCs/>
                <w:lang w:val="sr-Cyrl-RS"/>
              </w:rPr>
              <w:t>:</w:t>
            </w:r>
          </w:p>
          <w:p w14:paraId="520E7A74" w14:textId="77777777" w:rsidR="00AC62C2" w:rsidRPr="00657C73" w:rsidRDefault="00AC62C2" w:rsidP="00E4241D">
            <w:pPr>
              <w:rPr>
                <w:bCs/>
                <w:lang w:val="sr-Cyrl-RS"/>
              </w:rPr>
            </w:pPr>
            <w:r w:rsidRPr="00657C73">
              <w:rPr>
                <w:bCs/>
                <w:lang w:val="sr-Cyrl-RS"/>
              </w:rPr>
              <w:t xml:space="preserve">Према Закону о планском систему </w:t>
            </w:r>
            <w:r>
              <w:rPr>
                <w:bCs/>
                <w:lang w:val="sr-Cyrl-RS"/>
              </w:rPr>
              <w:t xml:space="preserve">(„Службени гласник </w:t>
            </w:r>
            <w:proofErr w:type="spellStart"/>
            <w:r>
              <w:rPr>
                <w:bCs/>
                <w:lang w:val="sr-Cyrl-RS"/>
              </w:rPr>
              <w:t>РС</w:t>
            </w:r>
            <w:r>
              <w:rPr>
                <w:rFonts w:cs="Times New Roman"/>
                <w:bCs/>
                <w:lang w:val="sr-Cyrl-RS"/>
              </w:rPr>
              <w:t>ˮ</w:t>
            </w:r>
            <w:proofErr w:type="spellEnd"/>
            <w:r>
              <w:rPr>
                <w:bCs/>
                <w:lang w:val="sr-Cyrl-RS"/>
              </w:rPr>
              <w:t xml:space="preserve">, број 30/18), израда Инвестиционог плана иде након усвајања Плана развоја, јер је у </w:t>
            </w:r>
            <w:r>
              <w:rPr>
                <w:bCs/>
                <w:lang w:val="sr-Cyrl-RS"/>
              </w:rPr>
              <w:lastRenderedPageBreak/>
              <w:t xml:space="preserve">питању документ развојног планирања, у којем се у складу са приоритетним циљевима развоја постављеним Планом развоја, планирају јавне инвестиције у областима од јавног интереса. </w:t>
            </w:r>
          </w:p>
        </w:tc>
      </w:tr>
      <w:tr w:rsidR="00AC62C2" w:rsidRPr="00E577A9" w14:paraId="3395C5E6" w14:textId="77777777" w:rsidTr="00E4241D">
        <w:tc>
          <w:tcPr>
            <w:tcW w:w="1541" w:type="dxa"/>
          </w:tcPr>
          <w:p w14:paraId="143D54EC" w14:textId="77777777" w:rsidR="00AC62C2" w:rsidRPr="0020682F" w:rsidRDefault="00AC62C2" w:rsidP="00E4241D">
            <w:pPr>
              <w:jc w:val="center"/>
              <w:rPr>
                <w:bCs/>
                <w:lang w:val="sr-Cyrl-RS"/>
              </w:rPr>
            </w:pPr>
            <w:r w:rsidRPr="0020682F">
              <w:rPr>
                <w:bCs/>
                <w:lang w:val="sr-Cyrl-RS"/>
              </w:rPr>
              <w:lastRenderedPageBreak/>
              <w:t>24.</w:t>
            </w:r>
          </w:p>
        </w:tc>
        <w:tc>
          <w:tcPr>
            <w:tcW w:w="1745" w:type="dxa"/>
          </w:tcPr>
          <w:p w14:paraId="0FEF8EFF" w14:textId="77777777" w:rsidR="00AC62C2" w:rsidRPr="003E16C3" w:rsidRDefault="00AC62C2" w:rsidP="00E4241D">
            <w:pPr>
              <w:jc w:val="center"/>
              <w:rPr>
                <w:bCs/>
                <w:lang w:val="sr-Cyrl-RS"/>
              </w:rPr>
            </w:pPr>
            <w:r w:rsidRPr="003E16C3">
              <w:rPr>
                <w:bCs/>
                <w:lang w:val="sr-Cyrl-RS"/>
              </w:rPr>
              <w:t>Фондација Центар за демократију</w:t>
            </w:r>
          </w:p>
        </w:tc>
        <w:tc>
          <w:tcPr>
            <w:tcW w:w="3247" w:type="dxa"/>
          </w:tcPr>
          <w:p w14:paraId="744D7505" w14:textId="77777777" w:rsidR="00AC62C2" w:rsidRPr="003E16C3" w:rsidRDefault="00AC62C2" w:rsidP="00E4241D">
            <w:pPr>
              <w:rPr>
                <w:bCs/>
                <w:lang w:val="sr-Cyrl-RS"/>
              </w:rPr>
            </w:pPr>
            <w:r>
              <w:rPr>
                <w:b/>
                <w:lang w:val="sr-Cyrl-RS"/>
              </w:rPr>
              <w:t xml:space="preserve">Чл. 13. ст. 5. </w:t>
            </w:r>
            <w:r>
              <w:rPr>
                <w:bCs/>
                <w:lang w:val="sr-Cyrl-RS"/>
              </w:rPr>
              <w:t>У колико фаза се укључује Народна скупштина, у једној или две фазе, односно само при усвајању Предлога плана развоја или претходно утврђује садржај?</w:t>
            </w:r>
          </w:p>
        </w:tc>
        <w:tc>
          <w:tcPr>
            <w:tcW w:w="3096" w:type="dxa"/>
          </w:tcPr>
          <w:p w14:paraId="5A8F3D59" w14:textId="77777777" w:rsidR="00AC62C2" w:rsidRPr="00DA678B" w:rsidRDefault="00AC62C2" w:rsidP="00E4241D">
            <w:pPr>
              <w:rPr>
                <w:b/>
                <w:bCs/>
                <w:lang w:val="sr-Cyrl-RS"/>
              </w:rPr>
            </w:pPr>
            <w:r w:rsidRPr="00DA678B">
              <w:rPr>
                <w:b/>
                <w:bCs/>
                <w:lang w:val="sr-Cyrl-RS"/>
              </w:rPr>
              <w:t>Одговор на питање:</w:t>
            </w:r>
          </w:p>
          <w:p w14:paraId="443154FA" w14:textId="77777777" w:rsidR="00AC62C2" w:rsidRPr="00967E18" w:rsidRDefault="00AC62C2" w:rsidP="00E4241D">
            <w:pPr>
              <w:rPr>
                <w:bCs/>
                <w:lang w:val="sr-Latn-RS"/>
              </w:rPr>
            </w:pPr>
            <w:r>
              <w:rPr>
                <w:bCs/>
                <w:lang w:val="sr-Cyrl-RS"/>
              </w:rPr>
              <w:t>У</w:t>
            </w:r>
            <w:r w:rsidRPr="009975A2">
              <w:rPr>
                <w:bCs/>
                <w:lang w:val="sr-Cyrl-RS"/>
              </w:rPr>
              <w:t xml:space="preserve"> фази</w:t>
            </w:r>
            <w:r>
              <w:rPr>
                <w:bCs/>
                <w:lang w:val="sr-Cyrl-RS"/>
              </w:rPr>
              <w:t xml:space="preserve"> усвајања Плана развоја, чиме усваја садржину Плана развоја, с обзиром да је надлежност Народне скупштине дефинисана Уставом РС и Законом о Народној скупштини.</w:t>
            </w:r>
            <w:r>
              <w:rPr>
                <w:bCs/>
                <w:lang w:val="sr-Latn-RS"/>
              </w:rPr>
              <w:t xml:space="preserve"> </w:t>
            </w:r>
            <w:r>
              <w:rPr>
                <w:bCs/>
                <w:lang w:val="sr-Cyrl-RS"/>
              </w:rPr>
              <w:t xml:space="preserve">У вези спровођења консултативног процеса у току израде Плана развоја, планирано је и укључивање представника Народне скупштине, кроз састанке </w:t>
            </w:r>
            <w:proofErr w:type="spellStart"/>
            <w:r>
              <w:rPr>
                <w:bCs/>
                <w:lang w:val="sr-Cyrl-RS"/>
              </w:rPr>
              <w:t>кокуса</w:t>
            </w:r>
            <w:proofErr w:type="spellEnd"/>
            <w:r>
              <w:rPr>
                <w:bCs/>
                <w:lang w:val="sr-Cyrl-RS"/>
              </w:rPr>
              <w:t xml:space="preserve"> и јавна слушања.</w:t>
            </w:r>
          </w:p>
        </w:tc>
      </w:tr>
      <w:tr w:rsidR="00AC62C2" w:rsidRPr="008B2095" w14:paraId="7F6A29B0" w14:textId="77777777" w:rsidTr="00E4241D">
        <w:tc>
          <w:tcPr>
            <w:tcW w:w="1541" w:type="dxa"/>
          </w:tcPr>
          <w:p w14:paraId="13D5E28C" w14:textId="77777777" w:rsidR="00AC62C2" w:rsidRPr="0020682F" w:rsidRDefault="00AC62C2" w:rsidP="00E4241D">
            <w:pPr>
              <w:jc w:val="center"/>
              <w:rPr>
                <w:bCs/>
                <w:lang w:val="sr-Cyrl-RS"/>
              </w:rPr>
            </w:pPr>
            <w:r w:rsidRPr="0020682F">
              <w:rPr>
                <w:bCs/>
                <w:lang w:val="sr-Cyrl-RS"/>
              </w:rPr>
              <w:t>25.</w:t>
            </w:r>
          </w:p>
        </w:tc>
        <w:tc>
          <w:tcPr>
            <w:tcW w:w="1745" w:type="dxa"/>
          </w:tcPr>
          <w:p w14:paraId="0F60CE1C" w14:textId="77777777" w:rsidR="00AC62C2" w:rsidRPr="0015773C" w:rsidRDefault="00AC62C2" w:rsidP="00E4241D">
            <w:pPr>
              <w:jc w:val="center"/>
              <w:rPr>
                <w:b/>
                <w:lang w:val="sr-Cyrl-RS"/>
              </w:rPr>
            </w:pPr>
            <w:r w:rsidRPr="00B51EF0">
              <w:rPr>
                <w:bCs/>
                <w:lang w:val="sr-Cyrl-RS"/>
              </w:rPr>
              <w:t>ЦЕП</w:t>
            </w:r>
            <w:r>
              <w:rPr>
                <w:bCs/>
                <w:lang w:val="sr-Cyrl-RS"/>
              </w:rPr>
              <w:t>/</w:t>
            </w:r>
            <w:proofErr w:type="spellStart"/>
            <w:r>
              <w:rPr>
                <w:bCs/>
                <w:lang w:val="sr-Cyrl-RS"/>
              </w:rPr>
              <w:t>ИнТЕР</w:t>
            </w:r>
            <w:proofErr w:type="spellEnd"/>
          </w:p>
        </w:tc>
        <w:tc>
          <w:tcPr>
            <w:tcW w:w="3247" w:type="dxa"/>
          </w:tcPr>
          <w:p w14:paraId="0FCFB2F6" w14:textId="77777777" w:rsidR="00AC62C2" w:rsidRPr="0015773C" w:rsidRDefault="00AC62C2" w:rsidP="00E4241D">
            <w:pPr>
              <w:rPr>
                <w:b/>
                <w:lang w:val="sr-Cyrl-RS"/>
              </w:rPr>
            </w:pPr>
            <w:r>
              <w:rPr>
                <w:b/>
                <w:lang w:val="sr-Cyrl-RS"/>
              </w:rPr>
              <w:t xml:space="preserve">Чл. 15. </w:t>
            </w:r>
            <w:r w:rsidRPr="00B51EF0">
              <w:rPr>
                <w:bCs/>
                <w:lang w:val="sr-Cyrl-RS"/>
              </w:rPr>
              <w:t>Одредити и рок з</w:t>
            </w:r>
            <w:r>
              <w:rPr>
                <w:bCs/>
                <w:lang w:val="sr-Cyrl-RS"/>
              </w:rPr>
              <w:t xml:space="preserve">а почетак и </w:t>
            </w:r>
            <w:r w:rsidRPr="00B51EF0">
              <w:rPr>
                <w:bCs/>
                <w:lang w:val="sr-Cyrl-RS"/>
              </w:rPr>
              <w:t>завршетак Плана развоја</w:t>
            </w:r>
            <w:r>
              <w:rPr>
                <w:bCs/>
                <w:lang w:val="sr-Cyrl-RS"/>
              </w:rPr>
              <w:t>/</w:t>
            </w:r>
            <w:r>
              <w:rPr>
                <w:b/>
                <w:lang w:val="sr-Cyrl-RS"/>
              </w:rPr>
              <w:t xml:space="preserve"> </w:t>
            </w:r>
            <w:r w:rsidRPr="005C5556">
              <w:rPr>
                <w:bCs/>
                <w:lang w:val="sr-Cyrl-RS"/>
              </w:rPr>
              <w:t>предвидети да План развоја важи након што истекне план Србија 2025.</w:t>
            </w:r>
          </w:p>
        </w:tc>
        <w:tc>
          <w:tcPr>
            <w:tcW w:w="3096" w:type="dxa"/>
          </w:tcPr>
          <w:p w14:paraId="2E112FFB" w14:textId="77777777" w:rsidR="00AC62C2" w:rsidRDefault="00AC62C2" w:rsidP="00E4241D">
            <w:pPr>
              <w:rPr>
                <w:b/>
                <w:lang w:val="sr-Cyrl-RS"/>
              </w:rPr>
            </w:pPr>
            <w:r>
              <w:rPr>
                <w:b/>
                <w:lang w:val="sr-Cyrl-RS"/>
              </w:rPr>
              <w:t>Нису унете измене</w:t>
            </w:r>
            <w:r>
              <w:rPr>
                <w:bCs/>
                <w:lang w:val="sr-Cyrl-RS"/>
              </w:rPr>
              <w:t xml:space="preserve"> </w:t>
            </w:r>
            <w:r>
              <w:rPr>
                <w:b/>
                <w:lang w:val="sr-Cyrl-RS"/>
              </w:rPr>
              <w:t>–</w:t>
            </w:r>
          </w:p>
          <w:p w14:paraId="646A74E4" w14:textId="77777777" w:rsidR="00AC62C2" w:rsidRDefault="00AC62C2" w:rsidP="00E4241D">
            <w:pPr>
              <w:pStyle w:val="NoSpacing"/>
              <w:rPr>
                <w:rFonts w:cs="Times New Roman"/>
                <w:szCs w:val="24"/>
                <w:lang w:val="sr-Cyrl-RS"/>
              </w:rPr>
            </w:pPr>
            <w:r>
              <w:rPr>
                <w:rFonts w:cs="Times New Roman"/>
                <w:szCs w:val="24"/>
                <w:lang w:val="sr-Cyrl-RS"/>
              </w:rPr>
              <w:t xml:space="preserve">Успостављањем координационог механизма, односно успостављањем Управљачког тела и Стручне групе, за чије успостављање је одређен рок, може се сматрати почетком израде Плана развоја. С обзиром на сложеност и значај самог документа, неопходно је да овај процес  </w:t>
            </w:r>
          </w:p>
          <w:p w14:paraId="63133E52" w14:textId="77777777" w:rsidR="00AC62C2" w:rsidRDefault="00AC62C2" w:rsidP="00E4241D">
            <w:pPr>
              <w:pStyle w:val="NoSpacing"/>
              <w:rPr>
                <w:rFonts w:cs="Times New Roman"/>
                <w:szCs w:val="24"/>
                <w:lang w:val="sr-Cyrl-RS"/>
              </w:rPr>
            </w:pPr>
            <w:r>
              <w:rPr>
                <w:rFonts w:cs="Times New Roman"/>
                <w:szCs w:val="24"/>
                <w:lang w:val="sr-Cyrl-RS"/>
              </w:rPr>
              <w:t xml:space="preserve">траје онолико колико је потребно да би се припремио квалитетан </w:t>
            </w:r>
            <w:r>
              <w:rPr>
                <w:rFonts w:cs="Times New Roman"/>
                <w:szCs w:val="24"/>
                <w:lang w:val="sr-Cyrl-RS"/>
              </w:rPr>
              <w:lastRenderedPageBreak/>
              <w:t>документ и спровеле све потребне анализе и консултативни процес који би обухватио велики број учесника у њему.</w:t>
            </w:r>
          </w:p>
          <w:p w14:paraId="744AB46A" w14:textId="77777777" w:rsidR="00AC62C2" w:rsidRDefault="00AC62C2" w:rsidP="00E4241D">
            <w:pPr>
              <w:pStyle w:val="NoSpacing"/>
              <w:rPr>
                <w:rFonts w:cs="Times New Roman"/>
                <w:szCs w:val="24"/>
                <w:lang w:val="sr-Cyrl-RS"/>
              </w:rPr>
            </w:pPr>
            <w:r>
              <w:rPr>
                <w:rFonts w:cs="Times New Roman"/>
                <w:szCs w:val="24"/>
                <w:lang w:val="sr-Cyrl-RS"/>
              </w:rPr>
              <w:t>Овом процесу треба оставити довољну флексибилност и не би било добро унапред све нормирати.</w:t>
            </w:r>
          </w:p>
          <w:p w14:paraId="70F84489" w14:textId="77777777" w:rsidR="00AC62C2" w:rsidRDefault="00AC62C2" w:rsidP="00E4241D">
            <w:pPr>
              <w:rPr>
                <w:b/>
                <w:lang w:val="sr-Cyrl-RS"/>
              </w:rPr>
            </w:pPr>
          </w:p>
        </w:tc>
      </w:tr>
    </w:tbl>
    <w:p w14:paraId="1EC9C6CB" w14:textId="77777777" w:rsidR="00FF0A15" w:rsidRPr="00FB56B6" w:rsidRDefault="00FF0A15" w:rsidP="00FF0A15">
      <w:pPr>
        <w:rPr>
          <w:lang w:val="ru-RU"/>
        </w:rPr>
      </w:pPr>
    </w:p>
    <w:p w14:paraId="3DDC183D" w14:textId="77777777" w:rsidR="00744856" w:rsidRPr="00FB56B6" w:rsidRDefault="00FF0A15" w:rsidP="00FF0A15">
      <w:pPr>
        <w:tabs>
          <w:tab w:val="left" w:pos="4275"/>
        </w:tabs>
        <w:rPr>
          <w:lang w:val="ru-RU"/>
        </w:rPr>
      </w:pPr>
      <w:r w:rsidRPr="00FB56B6">
        <w:rPr>
          <w:lang w:val="ru-RU"/>
        </w:rPr>
        <w:tab/>
      </w:r>
    </w:p>
    <w:sectPr w:rsidR="00744856" w:rsidRPr="00FB56B6" w:rsidSect="00FC2B91">
      <w:headerReference w:type="default" r:id="rId8"/>
      <w:footerReference w:type="default" r:id="rId9"/>
      <w:pgSz w:w="11907" w:h="16839"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DA30" w14:textId="77777777" w:rsidR="0018299A" w:rsidRDefault="0018299A" w:rsidP="009C0AAF">
      <w:pPr>
        <w:spacing w:after="0" w:line="240" w:lineRule="auto"/>
      </w:pPr>
      <w:r>
        <w:separator/>
      </w:r>
    </w:p>
  </w:endnote>
  <w:endnote w:type="continuationSeparator" w:id="0">
    <w:p w14:paraId="54407B6A" w14:textId="77777777" w:rsidR="0018299A" w:rsidRDefault="0018299A" w:rsidP="009C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426161"/>
      <w:docPartObj>
        <w:docPartGallery w:val="Page Numbers (Bottom of Page)"/>
        <w:docPartUnique/>
      </w:docPartObj>
    </w:sdtPr>
    <w:sdtEndPr>
      <w:rPr>
        <w:noProof/>
      </w:rPr>
    </w:sdtEndPr>
    <w:sdtContent>
      <w:p w14:paraId="281566F2" w14:textId="6C1E55D5" w:rsidR="009E065C" w:rsidRDefault="009E065C">
        <w:pPr>
          <w:pStyle w:val="Footer"/>
          <w:jc w:val="right"/>
        </w:pPr>
        <w:r>
          <w:fldChar w:fldCharType="begin"/>
        </w:r>
        <w:r>
          <w:instrText xml:space="preserve"> PAGE   \* MERGEFORMAT </w:instrText>
        </w:r>
        <w:r>
          <w:fldChar w:fldCharType="separate"/>
        </w:r>
        <w:r w:rsidR="00175166">
          <w:rPr>
            <w:noProof/>
          </w:rPr>
          <w:t>15</w:t>
        </w:r>
        <w:r>
          <w:rPr>
            <w:noProof/>
          </w:rPr>
          <w:fldChar w:fldCharType="end"/>
        </w:r>
      </w:p>
    </w:sdtContent>
  </w:sdt>
  <w:p w14:paraId="38C2A9BD" w14:textId="5A7DD306" w:rsidR="009C0AAF" w:rsidRPr="00FB56B6" w:rsidRDefault="009C0AAF" w:rsidP="009C0AAF">
    <w:pPr>
      <w:pStyle w:val="Footer"/>
      <w:jc w:val="cen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CA678" w14:textId="77777777" w:rsidR="0018299A" w:rsidRDefault="0018299A" w:rsidP="009C0AAF">
      <w:pPr>
        <w:spacing w:after="0" w:line="240" w:lineRule="auto"/>
      </w:pPr>
      <w:r>
        <w:separator/>
      </w:r>
    </w:p>
  </w:footnote>
  <w:footnote w:type="continuationSeparator" w:id="0">
    <w:p w14:paraId="41FF8628" w14:textId="77777777" w:rsidR="0018299A" w:rsidRDefault="0018299A" w:rsidP="009C0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9A00" w14:textId="77777777" w:rsidR="009C0AAF" w:rsidRDefault="009C0AAF">
    <w:pPr>
      <w:pStyle w:val="Header"/>
    </w:pPr>
    <w:r>
      <w:rPr>
        <w:noProof/>
      </w:rPr>
      <w:drawing>
        <wp:anchor distT="0" distB="0" distL="114300" distR="114300" simplePos="0" relativeHeight="251658240" behindDoc="1" locked="0" layoutInCell="1" allowOverlap="1" wp14:anchorId="668022C8" wp14:editId="5CC348AB">
          <wp:simplePos x="0" y="0"/>
          <wp:positionH relativeFrom="margin">
            <wp:posOffset>-593256</wp:posOffset>
          </wp:positionH>
          <wp:positionV relativeFrom="page">
            <wp:posOffset>200025</wp:posOffset>
          </wp:positionV>
          <wp:extent cx="7325381" cy="10307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25381" cy="103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0FA"/>
    <w:multiLevelType w:val="hybridMultilevel"/>
    <w:tmpl w:val="2630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55CA"/>
    <w:multiLevelType w:val="hybridMultilevel"/>
    <w:tmpl w:val="FDA40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9148B"/>
    <w:multiLevelType w:val="hybridMultilevel"/>
    <w:tmpl w:val="B49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9EA"/>
    <w:multiLevelType w:val="hybridMultilevel"/>
    <w:tmpl w:val="9DF0A91E"/>
    <w:lvl w:ilvl="0" w:tplc="8F8C86E0">
      <w:start w:val="1"/>
      <w:numFmt w:val="bullet"/>
      <w:lvlText w:val="•"/>
      <w:lvlJc w:val="left"/>
      <w:pPr>
        <w:tabs>
          <w:tab w:val="num" w:pos="720"/>
        </w:tabs>
        <w:ind w:left="720" w:hanging="360"/>
      </w:pPr>
      <w:rPr>
        <w:rFonts w:ascii="Times New Roman" w:hAnsi="Times New Roman" w:hint="default"/>
      </w:rPr>
    </w:lvl>
    <w:lvl w:ilvl="1" w:tplc="AA309120" w:tentative="1">
      <w:start w:val="1"/>
      <w:numFmt w:val="bullet"/>
      <w:lvlText w:val="•"/>
      <w:lvlJc w:val="left"/>
      <w:pPr>
        <w:tabs>
          <w:tab w:val="num" w:pos="1440"/>
        </w:tabs>
        <w:ind w:left="1440" w:hanging="360"/>
      </w:pPr>
      <w:rPr>
        <w:rFonts w:ascii="Times New Roman" w:hAnsi="Times New Roman" w:hint="default"/>
      </w:rPr>
    </w:lvl>
    <w:lvl w:ilvl="2" w:tplc="179C2DBA" w:tentative="1">
      <w:start w:val="1"/>
      <w:numFmt w:val="bullet"/>
      <w:lvlText w:val="•"/>
      <w:lvlJc w:val="left"/>
      <w:pPr>
        <w:tabs>
          <w:tab w:val="num" w:pos="2160"/>
        </w:tabs>
        <w:ind w:left="2160" w:hanging="360"/>
      </w:pPr>
      <w:rPr>
        <w:rFonts w:ascii="Times New Roman" w:hAnsi="Times New Roman" w:hint="default"/>
      </w:rPr>
    </w:lvl>
    <w:lvl w:ilvl="3" w:tplc="B3DECFDA" w:tentative="1">
      <w:start w:val="1"/>
      <w:numFmt w:val="bullet"/>
      <w:lvlText w:val="•"/>
      <w:lvlJc w:val="left"/>
      <w:pPr>
        <w:tabs>
          <w:tab w:val="num" w:pos="2880"/>
        </w:tabs>
        <w:ind w:left="2880" w:hanging="360"/>
      </w:pPr>
      <w:rPr>
        <w:rFonts w:ascii="Times New Roman" w:hAnsi="Times New Roman" w:hint="default"/>
      </w:rPr>
    </w:lvl>
    <w:lvl w:ilvl="4" w:tplc="8E4C8392" w:tentative="1">
      <w:start w:val="1"/>
      <w:numFmt w:val="bullet"/>
      <w:lvlText w:val="•"/>
      <w:lvlJc w:val="left"/>
      <w:pPr>
        <w:tabs>
          <w:tab w:val="num" w:pos="3600"/>
        </w:tabs>
        <w:ind w:left="3600" w:hanging="360"/>
      </w:pPr>
      <w:rPr>
        <w:rFonts w:ascii="Times New Roman" w:hAnsi="Times New Roman" w:hint="default"/>
      </w:rPr>
    </w:lvl>
    <w:lvl w:ilvl="5" w:tplc="0ADAA552" w:tentative="1">
      <w:start w:val="1"/>
      <w:numFmt w:val="bullet"/>
      <w:lvlText w:val="•"/>
      <w:lvlJc w:val="left"/>
      <w:pPr>
        <w:tabs>
          <w:tab w:val="num" w:pos="4320"/>
        </w:tabs>
        <w:ind w:left="4320" w:hanging="360"/>
      </w:pPr>
      <w:rPr>
        <w:rFonts w:ascii="Times New Roman" w:hAnsi="Times New Roman" w:hint="default"/>
      </w:rPr>
    </w:lvl>
    <w:lvl w:ilvl="6" w:tplc="B106B2F6" w:tentative="1">
      <w:start w:val="1"/>
      <w:numFmt w:val="bullet"/>
      <w:lvlText w:val="•"/>
      <w:lvlJc w:val="left"/>
      <w:pPr>
        <w:tabs>
          <w:tab w:val="num" w:pos="5040"/>
        </w:tabs>
        <w:ind w:left="5040" w:hanging="360"/>
      </w:pPr>
      <w:rPr>
        <w:rFonts w:ascii="Times New Roman" w:hAnsi="Times New Roman" w:hint="default"/>
      </w:rPr>
    </w:lvl>
    <w:lvl w:ilvl="7" w:tplc="27B48960" w:tentative="1">
      <w:start w:val="1"/>
      <w:numFmt w:val="bullet"/>
      <w:lvlText w:val="•"/>
      <w:lvlJc w:val="left"/>
      <w:pPr>
        <w:tabs>
          <w:tab w:val="num" w:pos="5760"/>
        </w:tabs>
        <w:ind w:left="5760" w:hanging="360"/>
      </w:pPr>
      <w:rPr>
        <w:rFonts w:ascii="Times New Roman" w:hAnsi="Times New Roman" w:hint="default"/>
      </w:rPr>
    </w:lvl>
    <w:lvl w:ilvl="8" w:tplc="C572564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9D6A30"/>
    <w:multiLevelType w:val="hybridMultilevel"/>
    <w:tmpl w:val="3F3C5F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3A2E"/>
    <w:multiLevelType w:val="hybridMultilevel"/>
    <w:tmpl w:val="5220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470A1"/>
    <w:multiLevelType w:val="hybridMultilevel"/>
    <w:tmpl w:val="B17C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006C4"/>
    <w:multiLevelType w:val="hybridMultilevel"/>
    <w:tmpl w:val="586E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F149C"/>
    <w:multiLevelType w:val="hybridMultilevel"/>
    <w:tmpl w:val="DE60C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A7134"/>
    <w:multiLevelType w:val="hybridMultilevel"/>
    <w:tmpl w:val="6082C25C"/>
    <w:lvl w:ilvl="0" w:tplc="185E43D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56870"/>
    <w:multiLevelType w:val="hybridMultilevel"/>
    <w:tmpl w:val="D6DE93FC"/>
    <w:lvl w:ilvl="0" w:tplc="C8342486">
      <w:start w:val="1"/>
      <w:numFmt w:val="decimal"/>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59363F"/>
    <w:multiLevelType w:val="hybridMultilevel"/>
    <w:tmpl w:val="A8F094BA"/>
    <w:lvl w:ilvl="0" w:tplc="19427F86">
      <w:start w:val="1"/>
      <w:numFmt w:val="bullet"/>
      <w:lvlText w:val="•"/>
      <w:lvlJc w:val="left"/>
      <w:pPr>
        <w:tabs>
          <w:tab w:val="num" w:pos="720"/>
        </w:tabs>
        <w:ind w:left="720" w:hanging="360"/>
      </w:pPr>
      <w:rPr>
        <w:rFonts w:ascii="Times New Roman" w:hAnsi="Times New Roman" w:hint="default"/>
      </w:rPr>
    </w:lvl>
    <w:lvl w:ilvl="1" w:tplc="A1BC3EEE" w:tentative="1">
      <w:start w:val="1"/>
      <w:numFmt w:val="bullet"/>
      <w:lvlText w:val="•"/>
      <w:lvlJc w:val="left"/>
      <w:pPr>
        <w:tabs>
          <w:tab w:val="num" w:pos="1440"/>
        </w:tabs>
        <w:ind w:left="1440" w:hanging="360"/>
      </w:pPr>
      <w:rPr>
        <w:rFonts w:ascii="Times New Roman" w:hAnsi="Times New Roman" w:hint="default"/>
      </w:rPr>
    </w:lvl>
    <w:lvl w:ilvl="2" w:tplc="BA8E795E" w:tentative="1">
      <w:start w:val="1"/>
      <w:numFmt w:val="bullet"/>
      <w:lvlText w:val="•"/>
      <w:lvlJc w:val="left"/>
      <w:pPr>
        <w:tabs>
          <w:tab w:val="num" w:pos="2160"/>
        </w:tabs>
        <w:ind w:left="2160" w:hanging="360"/>
      </w:pPr>
      <w:rPr>
        <w:rFonts w:ascii="Times New Roman" w:hAnsi="Times New Roman" w:hint="default"/>
      </w:rPr>
    </w:lvl>
    <w:lvl w:ilvl="3" w:tplc="A5BC883C" w:tentative="1">
      <w:start w:val="1"/>
      <w:numFmt w:val="bullet"/>
      <w:lvlText w:val="•"/>
      <w:lvlJc w:val="left"/>
      <w:pPr>
        <w:tabs>
          <w:tab w:val="num" w:pos="2880"/>
        </w:tabs>
        <w:ind w:left="2880" w:hanging="360"/>
      </w:pPr>
      <w:rPr>
        <w:rFonts w:ascii="Times New Roman" w:hAnsi="Times New Roman" w:hint="default"/>
      </w:rPr>
    </w:lvl>
    <w:lvl w:ilvl="4" w:tplc="CF7C57FC" w:tentative="1">
      <w:start w:val="1"/>
      <w:numFmt w:val="bullet"/>
      <w:lvlText w:val="•"/>
      <w:lvlJc w:val="left"/>
      <w:pPr>
        <w:tabs>
          <w:tab w:val="num" w:pos="3600"/>
        </w:tabs>
        <w:ind w:left="3600" w:hanging="360"/>
      </w:pPr>
      <w:rPr>
        <w:rFonts w:ascii="Times New Roman" w:hAnsi="Times New Roman" w:hint="default"/>
      </w:rPr>
    </w:lvl>
    <w:lvl w:ilvl="5" w:tplc="C246B31C" w:tentative="1">
      <w:start w:val="1"/>
      <w:numFmt w:val="bullet"/>
      <w:lvlText w:val="•"/>
      <w:lvlJc w:val="left"/>
      <w:pPr>
        <w:tabs>
          <w:tab w:val="num" w:pos="4320"/>
        </w:tabs>
        <w:ind w:left="4320" w:hanging="360"/>
      </w:pPr>
      <w:rPr>
        <w:rFonts w:ascii="Times New Roman" w:hAnsi="Times New Roman" w:hint="default"/>
      </w:rPr>
    </w:lvl>
    <w:lvl w:ilvl="6" w:tplc="D2A23504" w:tentative="1">
      <w:start w:val="1"/>
      <w:numFmt w:val="bullet"/>
      <w:lvlText w:val="•"/>
      <w:lvlJc w:val="left"/>
      <w:pPr>
        <w:tabs>
          <w:tab w:val="num" w:pos="5040"/>
        </w:tabs>
        <w:ind w:left="5040" w:hanging="360"/>
      </w:pPr>
      <w:rPr>
        <w:rFonts w:ascii="Times New Roman" w:hAnsi="Times New Roman" w:hint="default"/>
      </w:rPr>
    </w:lvl>
    <w:lvl w:ilvl="7" w:tplc="6AF6C5F4" w:tentative="1">
      <w:start w:val="1"/>
      <w:numFmt w:val="bullet"/>
      <w:lvlText w:val="•"/>
      <w:lvlJc w:val="left"/>
      <w:pPr>
        <w:tabs>
          <w:tab w:val="num" w:pos="5760"/>
        </w:tabs>
        <w:ind w:left="5760" w:hanging="360"/>
      </w:pPr>
      <w:rPr>
        <w:rFonts w:ascii="Times New Roman" w:hAnsi="Times New Roman" w:hint="default"/>
      </w:rPr>
    </w:lvl>
    <w:lvl w:ilvl="8" w:tplc="BBCC27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DB6F84"/>
    <w:multiLevelType w:val="hybridMultilevel"/>
    <w:tmpl w:val="B8982C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1430CEE"/>
    <w:multiLevelType w:val="multilevel"/>
    <w:tmpl w:val="ACC0CDDE"/>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1553A62"/>
    <w:multiLevelType w:val="hybridMultilevel"/>
    <w:tmpl w:val="117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465CC"/>
    <w:multiLevelType w:val="hybridMultilevel"/>
    <w:tmpl w:val="F686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B174E"/>
    <w:multiLevelType w:val="hybridMultilevel"/>
    <w:tmpl w:val="9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60364"/>
    <w:multiLevelType w:val="hybridMultilevel"/>
    <w:tmpl w:val="838E83BC"/>
    <w:lvl w:ilvl="0" w:tplc="28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270F0"/>
    <w:multiLevelType w:val="hybridMultilevel"/>
    <w:tmpl w:val="6E8C5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26877"/>
    <w:multiLevelType w:val="hybridMultilevel"/>
    <w:tmpl w:val="0BD8CF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62E4B"/>
    <w:multiLevelType w:val="hybridMultilevel"/>
    <w:tmpl w:val="5E14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56A62"/>
    <w:multiLevelType w:val="hybridMultilevel"/>
    <w:tmpl w:val="A5B81FF8"/>
    <w:lvl w:ilvl="0" w:tplc="DBF03C66">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15:restartNumberingAfterBreak="0">
    <w:nsid w:val="3F5B3656"/>
    <w:multiLevelType w:val="hybridMultilevel"/>
    <w:tmpl w:val="DFE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479B6"/>
    <w:multiLevelType w:val="hybridMultilevel"/>
    <w:tmpl w:val="594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930B2"/>
    <w:multiLevelType w:val="hybridMultilevel"/>
    <w:tmpl w:val="C844780E"/>
    <w:lvl w:ilvl="0" w:tplc="749E481C">
      <w:start w:val="1"/>
      <w:numFmt w:val="decimal"/>
      <w:lvlText w:val="%1."/>
      <w:lvlJc w:val="left"/>
      <w:pPr>
        <w:ind w:left="1080" w:hanging="360"/>
      </w:pPr>
      <w:rPr>
        <w:rFonts w:eastAsiaTheme="minorHAnsi" w:hint="default"/>
        <w:b/>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8B00DA"/>
    <w:multiLevelType w:val="hybridMultilevel"/>
    <w:tmpl w:val="658C0ADA"/>
    <w:lvl w:ilvl="0" w:tplc="18E6B8BA">
      <w:start w:val="1"/>
      <w:numFmt w:val="decimal"/>
      <w:lvlText w:val="%1."/>
      <w:lvlJc w:val="left"/>
      <w:pPr>
        <w:ind w:left="720" w:hanging="360"/>
      </w:pPr>
      <w:rPr>
        <w:rFonts w:ascii="Arial" w:hAnsi="Arial" w:cs="Arial"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C673C"/>
    <w:multiLevelType w:val="hybridMultilevel"/>
    <w:tmpl w:val="568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06E69"/>
    <w:multiLevelType w:val="hybridMultilevel"/>
    <w:tmpl w:val="D6DAFC26"/>
    <w:lvl w:ilvl="0" w:tplc="01963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105C48"/>
    <w:multiLevelType w:val="hybridMultilevel"/>
    <w:tmpl w:val="836A21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35B57"/>
    <w:multiLevelType w:val="hybridMultilevel"/>
    <w:tmpl w:val="F80A190E"/>
    <w:lvl w:ilvl="0" w:tplc="FC9233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36F178F"/>
    <w:multiLevelType w:val="hybridMultilevel"/>
    <w:tmpl w:val="DF58D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5D0F"/>
    <w:multiLevelType w:val="hybridMultilevel"/>
    <w:tmpl w:val="D6DAFC26"/>
    <w:lvl w:ilvl="0" w:tplc="01963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5960DC"/>
    <w:multiLevelType w:val="hybridMultilevel"/>
    <w:tmpl w:val="C584D0A0"/>
    <w:lvl w:ilvl="0" w:tplc="B94AF18A">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D0DD6"/>
    <w:multiLevelType w:val="hybridMultilevel"/>
    <w:tmpl w:val="E3E211D2"/>
    <w:lvl w:ilvl="0" w:tplc="7DBC0682">
      <w:start w:val="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D3E3D"/>
    <w:multiLevelType w:val="hybridMultilevel"/>
    <w:tmpl w:val="BC8A91E0"/>
    <w:lvl w:ilvl="0" w:tplc="A0241398">
      <w:start w:val="1"/>
      <w:numFmt w:val="bullet"/>
      <w:lvlText w:val=""/>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167EBC"/>
    <w:multiLevelType w:val="hybridMultilevel"/>
    <w:tmpl w:val="8302567A"/>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7E36"/>
    <w:multiLevelType w:val="hybridMultilevel"/>
    <w:tmpl w:val="46BE4A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E632DA"/>
    <w:multiLevelType w:val="hybridMultilevel"/>
    <w:tmpl w:val="460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C443C"/>
    <w:multiLevelType w:val="hybridMultilevel"/>
    <w:tmpl w:val="586E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74DE4"/>
    <w:multiLevelType w:val="hybridMultilevel"/>
    <w:tmpl w:val="DFF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741F3"/>
    <w:multiLevelType w:val="hybridMultilevel"/>
    <w:tmpl w:val="2D0EE5E8"/>
    <w:lvl w:ilvl="0" w:tplc="55889D4C">
      <w:start w:val="3"/>
      <w:numFmt w:val="decimal"/>
      <w:lvlText w:val="%1."/>
      <w:lvlJc w:val="left"/>
      <w:pPr>
        <w:ind w:left="1800" w:hanging="360"/>
      </w:pPr>
      <w:rPr>
        <w:rFonts w:asciiTheme="minorHAnsi" w:eastAsiaTheme="minorHAnsi"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EC11FFA"/>
    <w:multiLevelType w:val="hybridMultilevel"/>
    <w:tmpl w:val="B1C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B2BCB"/>
    <w:multiLevelType w:val="hybridMultilevel"/>
    <w:tmpl w:val="923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42E96"/>
    <w:multiLevelType w:val="multilevel"/>
    <w:tmpl w:val="C24A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52868"/>
    <w:multiLevelType w:val="hybridMultilevel"/>
    <w:tmpl w:val="5384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4E59"/>
    <w:multiLevelType w:val="hybridMultilevel"/>
    <w:tmpl w:val="EDB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12"/>
  </w:num>
  <w:num w:numId="5">
    <w:abstractNumId w:val="14"/>
  </w:num>
  <w:num w:numId="6">
    <w:abstractNumId w:val="0"/>
  </w:num>
  <w:num w:numId="7">
    <w:abstractNumId w:val="26"/>
  </w:num>
  <w:num w:numId="8">
    <w:abstractNumId w:val="42"/>
  </w:num>
  <w:num w:numId="9">
    <w:abstractNumId w:val="37"/>
  </w:num>
  <w:num w:numId="10">
    <w:abstractNumId w:val="20"/>
  </w:num>
  <w:num w:numId="11">
    <w:abstractNumId w:val="2"/>
  </w:num>
  <w:num w:numId="12">
    <w:abstractNumId w:val="16"/>
  </w:num>
  <w:num w:numId="13">
    <w:abstractNumId w:val="5"/>
  </w:num>
  <w:num w:numId="14">
    <w:abstractNumId w:val="32"/>
  </w:num>
  <w:num w:numId="15">
    <w:abstractNumId w:val="17"/>
  </w:num>
  <w:num w:numId="16">
    <w:abstractNumId w:val="35"/>
  </w:num>
  <w:num w:numId="17">
    <w:abstractNumId w:val="23"/>
  </w:num>
  <w:num w:numId="18">
    <w:abstractNumId w:val="39"/>
  </w:num>
  <w:num w:numId="19">
    <w:abstractNumId w:val="29"/>
  </w:num>
  <w:num w:numId="20">
    <w:abstractNumId w:val="33"/>
  </w:num>
  <w:num w:numId="21">
    <w:abstractNumId w:val="22"/>
  </w:num>
  <w:num w:numId="22">
    <w:abstractNumId w:val="28"/>
  </w:num>
  <w:num w:numId="23">
    <w:abstractNumId w:val="44"/>
  </w:num>
  <w:num w:numId="24">
    <w:abstractNumId w:val="41"/>
  </w:num>
  <w:num w:numId="25">
    <w:abstractNumId w:val="45"/>
  </w:num>
  <w:num w:numId="26">
    <w:abstractNumId w:val="1"/>
  </w:num>
  <w:num w:numId="27">
    <w:abstractNumId w:val="7"/>
  </w:num>
  <w:num w:numId="28">
    <w:abstractNumId w:val="38"/>
  </w:num>
  <w:num w:numId="29">
    <w:abstractNumId w:val="18"/>
  </w:num>
  <w:num w:numId="30">
    <w:abstractNumId w:val="27"/>
  </w:num>
  <w:num w:numId="31">
    <w:abstractNumId w:val="31"/>
  </w:num>
  <w:num w:numId="32">
    <w:abstractNumId w:val="25"/>
  </w:num>
  <w:num w:numId="33">
    <w:abstractNumId w:val="4"/>
  </w:num>
  <w:num w:numId="34">
    <w:abstractNumId w:val="10"/>
  </w:num>
  <w:num w:numId="35">
    <w:abstractNumId w:val="19"/>
  </w:num>
  <w:num w:numId="36">
    <w:abstractNumId w:val="40"/>
  </w:num>
  <w:num w:numId="37">
    <w:abstractNumId w:val="24"/>
  </w:num>
  <w:num w:numId="38">
    <w:abstractNumId w:val="43"/>
  </w:num>
  <w:num w:numId="39">
    <w:abstractNumId w:val="6"/>
  </w:num>
  <w:num w:numId="40">
    <w:abstractNumId w:val="30"/>
  </w:num>
  <w:num w:numId="41">
    <w:abstractNumId w:val="8"/>
  </w:num>
  <w:num w:numId="42">
    <w:abstractNumId w:val="3"/>
  </w:num>
  <w:num w:numId="43">
    <w:abstractNumId w:val="11"/>
  </w:num>
  <w:num w:numId="44">
    <w:abstractNumId w:val="15"/>
  </w:num>
  <w:num w:numId="45">
    <w:abstractNumId w:val="3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AF"/>
    <w:rsid w:val="00000D1B"/>
    <w:rsid w:val="00037FEE"/>
    <w:rsid w:val="00044829"/>
    <w:rsid w:val="000560AE"/>
    <w:rsid w:val="000870D2"/>
    <w:rsid w:val="00090D1C"/>
    <w:rsid w:val="000D298E"/>
    <w:rsid w:val="00106578"/>
    <w:rsid w:val="00120F44"/>
    <w:rsid w:val="001357A7"/>
    <w:rsid w:val="0015773C"/>
    <w:rsid w:val="001678E7"/>
    <w:rsid w:val="0017042E"/>
    <w:rsid w:val="00175166"/>
    <w:rsid w:val="0018273B"/>
    <w:rsid w:val="0018299A"/>
    <w:rsid w:val="00196880"/>
    <w:rsid w:val="00197CED"/>
    <w:rsid w:val="001C0E9F"/>
    <w:rsid w:val="001C5A42"/>
    <w:rsid w:val="001E46FD"/>
    <w:rsid w:val="001E5FD0"/>
    <w:rsid w:val="001F7261"/>
    <w:rsid w:val="002008ED"/>
    <w:rsid w:val="0020682F"/>
    <w:rsid w:val="00227CDB"/>
    <w:rsid w:val="00233702"/>
    <w:rsid w:val="00243680"/>
    <w:rsid w:val="00270DC5"/>
    <w:rsid w:val="00275C9F"/>
    <w:rsid w:val="00296965"/>
    <w:rsid w:val="002A334A"/>
    <w:rsid w:val="002A49AD"/>
    <w:rsid w:val="002C5844"/>
    <w:rsid w:val="002E0DFC"/>
    <w:rsid w:val="00313327"/>
    <w:rsid w:val="003352A2"/>
    <w:rsid w:val="00344215"/>
    <w:rsid w:val="00354096"/>
    <w:rsid w:val="00364F69"/>
    <w:rsid w:val="0037122B"/>
    <w:rsid w:val="003E16C3"/>
    <w:rsid w:val="003E29DB"/>
    <w:rsid w:val="003F133E"/>
    <w:rsid w:val="003F5E39"/>
    <w:rsid w:val="00421E2F"/>
    <w:rsid w:val="00430F8A"/>
    <w:rsid w:val="00443BDB"/>
    <w:rsid w:val="00457F09"/>
    <w:rsid w:val="00477D0B"/>
    <w:rsid w:val="004B1C09"/>
    <w:rsid w:val="004B4E8C"/>
    <w:rsid w:val="004C57E7"/>
    <w:rsid w:val="004D0E73"/>
    <w:rsid w:val="004E2E19"/>
    <w:rsid w:val="004E6A7C"/>
    <w:rsid w:val="004F0192"/>
    <w:rsid w:val="004F1EE1"/>
    <w:rsid w:val="0051163D"/>
    <w:rsid w:val="005208C2"/>
    <w:rsid w:val="0054172C"/>
    <w:rsid w:val="00543009"/>
    <w:rsid w:val="00590A10"/>
    <w:rsid w:val="005B252C"/>
    <w:rsid w:val="005C5556"/>
    <w:rsid w:val="00604D47"/>
    <w:rsid w:val="00604E87"/>
    <w:rsid w:val="00623FCE"/>
    <w:rsid w:val="00654BF8"/>
    <w:rsid w:val="00657C73"/>
    <w:rsid w:val="006718FB"/>
    <w:rsid w:val="00675F4C"/>
    <w:rsid w:val="006F285A"/>
    <w:rsid w:val="006F6A69"/>
    <w:rsid w:val="00733EB9"/>
    <w:rsid w:val="00744856"/>
    <w:rsid w:val="00885820"/>
    <w:rsid w:val="008B2095"/>
    <w:rsid w:val="008B6FAA"/>
    <w:rsid w:val="008B76A0"/>
    <w:rsid w:val="008D1671"/>
    <w:rsid w:val="008F7451"/>
    <w:rsid w:val="00901C36"/>
    <w:rsid w:val="00920C2C"/>
    <w:rsid w:val="009975A2"/>
    <w:rsid w:val="009C0AAF"/>
    <w:rsid w:val="009D1AF8"/>
    <w:rsid w:val="009E065C"/>
    <w:rsid w:val="009F476F"/>
    <w:rsid w:val="00A124A6"/>
    <w:rsid w:val="00A51CDD"/>
    <w:rsid w:val="00A65655"/>
    <w:rsid w:val="00A83C07"/>
    <w:rsid w:val="00AC1FC4"/>
    <w:rsid w:val="00AC62C2"/>
    <w:rsid w:val="00B04ABC"/>
    <w:rsid w:val="00B232F1"/>
    <w:rsid w:val="00B36307"/>
    <w:rsid w:val="00B51EF0"/>
    <w:rsid w:val="00B64E06"/>
    <w:rsid w:val="00B71289"/>
    <w:rsid w:val="00BB7545"/>
    <w:rsid w:val="00BD53CA"/>
    <w:rsid w:val="00BE1D8C"/>
    <w:rsid w:val="00C210B1"/>
    <w:rsid w:val="00C53314"/>
    <w:rsid w:val="00CC4D2C"/>
    <w:rsid w:val="00D428D0"/>
    <w:rsid w:val="00D42D95"/>
    <w:rsid w:val="00D65023"/>
    <w:rsid w:val="00D7089A"/>
    <w:rsid w:val="00DA678B"/>
    <w:rsid w:val="00DB683A"/>
    <w:rsid w:val="00E042A5"/>
    <w:rsid w:val="00E35FCA"/>
    <w:rsid w:val="00E3708F"/>
    <w:rsid w:val="00E577A9"/>
    <w:rsid w:val="00E6439E"/>
    <w:rsid w:val="00E85513"/>
    <w:rsid w:val="00EC7D9F"/>
    <w:rsid w:val="00EE41DD"/>
    <w:rsid w:val="00F40070"/>
    <w:rsid w:val="00F66387"/>
    <w:rsid w:val="00FB56B6"/>
    <w:rsid w:val="00FC2B91"/>
    <w:rsid w:val="00FD32AB"/>
    <w:rsid w:val="00FE14AD"/>
    <w:rsid w:val="00FF0A15"/>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8C67A"/>
  <w15:chartTrackingRefBased/>
  <w15:docId w15:val="{2641CB7A-B11E-4DCE-BE6B-713CBA7D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1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AF"/>
  </w:style>
  <w:style w:type="paragraph" w:styleId="Footer">
    <w:name w:val="footer"/>
    <w:basedOn w:val="Normal"/>
    <w:link w:val="FooterChar"/>
    <w:uiPriority w:val="99"/>
    <w:unhideWhenUsed/>
    <w:rsid w:val="009C0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AF"/>
  </w:style>
  <w:style w:type="paragraph" w:styleId="ListParagraph">
    <w:name w:val="List Paragraph"/>
    <w:basedOn w:val="Normal"/>
    <w:uiPriority w:val="34"/>
    <w:qFormat/>
    <w:rsid w:val="00654BF8"/>
    <w:pPr>
      <w:ind w:left="720"/>
      <w:contextualSpacing/>
    </w:pPr>
  </w:style>
  <w:style w:type="paragraph" w:styleId="NoSpacing">
    <w:name w:val="No Spacing"/>
    <w:uiPriority w:val="1"/>
    <w:qFormat/>
    <w:rsid w:val="00090D1C"/>
    <w:pPr>
      <w:spacing w:after="0" w:line="240" w:lineRule="auto"/>
    </w:pPr>
    <w:rPr>
      <w:rFonts w:ascii="Times New Roman" w:hAnsi="Times New Roman"/>
      <w:sz w:val="24"/>
    </w:rPr>
  </w:style>
  <w:style w:type="paragraph" w:customStyle="1" w:styleId="Default">
    <w:name w:val="Default"/>
    <w:rsid w:val="00E855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uiPriority w:val="99"/>
    <w:semiHidden/>
    <w:unhideWhenUsed/>
    <w:rsid w:val="00E85513"/>
    <w:rPr>
      <w:sz w:val="16"/>
      <w:szCs w:val="16"/>
    </w:rPr>
  </w:style>
  <w:style w:type="paragraph" w:styleId="CommentText">
    <w:name w:val="annotation text"/>
    <w:basedOn w:val="Normal"/>
    <w:link w:val="CommentTextChar"/>
    <w:uiPriority w:val="99"/>
    <w:semiHidden/>
    <w:unhideWhenUsed/>
    <w:rsid w:val="00E8551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855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5513"/>
    <w:rPr>
      <w:b/>
      <w:bCs/>
    </w:rPr>
  </w:style>
  <w:style w:type="character" w:customStyle="1" w:styleId="CommentSubjectChar">
    <w:name w:val="Comment Subject Char"/>
    <w:basedOn w:val="CommentTextChar"/>
    <w:link w:val="CommentSubject"/>
    <w:uiPriority w:val="99"/>
    <w:semiHidden/>
    <w:rsid w:val="00E8551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8551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85513"/>
    <w:rPr>
      <w:rFonts w:ascii="Tahoma" w:eastAsia="Calibri" w:hAnsi="Tahoma" w:cs="Tahoma"/>
      <w:sz w:val="16"/>
      <w:szCs w:val="16"/>
    </w:rPr>
  </w:style>
  <w:style w:type="character" w:styleId="Hyperlink">
    <w:name w:val="Hyperlink"/>
    <w:uiPriority w:val="99"/>
    <w:unhideWhenUsed/>
    <w:rsid w:val="00E85513"/>
    <w:rPr>
      <w:color w:val="0000FF"/>
      <w:u w:val="single"/>
    </w:rPr>
  </w:style>
  <w:style w:type="character" w:styleId="FollowedHyperlink">
    <w:name w:val="FollowedHyperlink"/>
    <w:uiPriority w:val="99"/>
    <w:semiHidden/>
    <w:unhideWhenUsed/>
    <w:rsid w:val="00E85513"/>
    <w:rPr>
      <w:color w:val="954F72"/>
      <w:u w:val="single"/>
    </w:rPr>
  </w:style>
  <w:style w:type="character" w:styleId="Emphasis">
    <w:name w:val="Emphasis"/>
    <w:uiPriority w:val="20"/>
    <w:qFormat/>
    <w:rsid w:val="00E85513"/>
    <w:rPr>
      <w:i/>
      <w:iCs/>
    </w:rPr>
  </w:style>
  <w:style w:type="character" w:styleId="Strong">
    <w:name w:val="Strong"/>
    <w:uiPriority w:val="22"/>
    <w:qFormat/>
    <w:rsid w:val="00E85513"/>
    <w:rPr>
      <w:b/>
      <w:bCs/>
    </w:rPr>
  </w:style>
  <w:style w:type="table" w:styleId="TableGrid">
    <w:name w:val="Table Grid"/>
    <w:basedOn w:val="TableNormal"/>
    <w:uiPriority w:val="39"/>
    <w:rsid w:val="004F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84332">
      <w:bodyDiv w:val="1"/>
      <w:marLeft w:val="0"/>
      <w:marRight w:val="0"/>
      <w:marTop w:val="0"/>
      <w:marBottom w:val="0"/>
      <w:divBdr>
        <w:top w:val="none" w:sz="0" w:space="0" w:color="auto"/>
        <w:left w:val="none" w:sz="0" w:space="0" w:color="auto"/>
        <w:bottom w:val="none" w:sz="0" w:space="0" w:color="auto"/>
        <w:right w:val="none" w:sz="0" w:space="0" w:color="auto"/>
      </w:divBdr>
      <w:divsChild>
        <w:div w:id="1425564533">
          <w:marLeft w:val="547"/>
          <w:marRight w:val="0"/>
          <w:marTop w:val="0"/>
          <w:marBottom w:val="0"/>
          <w:divBdr>
            <w:top w:val="none" w:sz="0" w:space="0" w:color="auto"/>
            <w:left w:val="none" w:sz="0" w:space="0" w:color="auto"/>
            <w:bottom w:val="none" w:sz="0" w:space="0" w:color="auto"/>
            <w:right w:val="none" w:sz="0" w:space="0" w:color="auto"/>
          </w:divBdr>
        </w:div>
      </w:divsChild>
    </w:div>
    <w:div w:id="1128007181">
      <w:bodyDiv w:val="1"/>
      <w:marLeft w:val="0"/>
      <w:marRight w:val="0"/>
      <w:marTop w:val="0"/>
      <w:marBottom w:val="0"/>
      <w:divBdr>
        <w:top w:val="none" w:sz="0" w:space="0" w:color="auto"/>
        <w:left w:val="none" w:sz="0" w:space="0" w:color="auto"/>
        <w:bottom w:val="none" w:sz="0" w:space="0" w:color="auto"/>
        <w:right w:val="none" w:sz="0" w:space="0" w:color="auto"/>
      </w:divBdr>
    </w:div>
    <w:div w:id="1260678826">
      <w:bodyDiv w:val="1"/>
      <w:marLeft w:val="0"/>
      <w:marRight w:val="0"/>
      <w:marTop w:val="0"/>
      <w:marBottom w:val="0"/>
      <w:divBdr>
        <w:top w:val="none" w:sz="0" w:space="0" w:color="auto"/>
        <w:left w:val="none" w:sz="0" w:space="0" w:color="auto"/>
        <w:bottom w:val="none" w:sz="0" w:space="0" w:color="auto"/>
        <w:right w:val="none" w:sz="0" w:space="0" w:color="auto"/>
      </w:divBdr>
    </w:div>
    <w:div w:id="1466314389">
      <w:bodyDiv w:val="1"/>
      <w:marLeft w:val="0"/>
      <w:marRight w:val="0"/>
      <w:marTop w:val="0"/>
      <w:marBottom w:val="0"/>
      <w:divBdr>
        <w:top w:val="none" w:sz="0" w:space="0" w:color="auto"/>
        <w:left w:val="none" w:sz="0" w:space="0" w:color="auto"/>
        <w:bottom w:val="none" w:sz="0" w:space="0" w:color="auto"/>
        <w:right w:val="none" w:sz="0" w:space="0" w:color="auto"/>
      </w:divBdr>
      <w:divsChild>
        <w:div w:id="2091613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D164-9BD8-4DD7-B8EA-49845BED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wintel</dc:creator>
  <cp:keywords/>
  <dc:description/>
  <cp:lastModifiedBy>Darinka Radojević</cp:lastModifiedBy>
  <cp:revision>5</cp:revision>
  <cp:lastPrinted>2023-04-26T08:23:00Z</cp:lastPrinted>
  <dcterms:created xsi:type="dcterms:W3CDTF">2023-04-27T10:52:00Z</dcterms:created>
  <dcterms:modified xsi:type="dcterms:W3CDTF">2023-06-02T06:14:00Z</dcterms:modified>
</cp:coreProperties>
</file>